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2A4B8">
      <w:pPr>
        <w:pStyle w:val="3"/>
        <w:spacing w:before="240" w:after="120" w:line="276" w:lineRule="auto"/>
        <w:jc w:val="center"/>
      </w:pPr>
      <w:r>
        <w:rPr>
          <w:rFonts w:hint="eastAsia" w:ascii="Calibri" w:hAnsi="Calibri" w:eastAsia="微软雅黑"/>
          <w:b/>
          <w:i w:val="0"/>
          <w:color w:val="000000"/>
          <w:sz w:val="44"/>
          <w:lang w:val="en-US" w:eastAsia="zh-CN"/>
        </w:rPr>
        <w:t>肌电诱发电位检测仪采购参数要求</w:t>
      </w:r>
    </w:p>
    <w:p w14:paraId="6F2A1DFC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120" w:afterAutospacing="0" w:line="240" w:lineRule="auto"/>
        <w:textAlignment w:val="auto"/>
        <w:rPr>
          <w:rFonts w:hint="default" w:ascii="Calibri" w:hAnsi="Calibri" w:eastAsia="MS Gothic" w:cs="Times New Roman"/>
          <w:b/>
          <w:bCs/>
          <w:color w:val="4F81BD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28"/>
          <w:szCs w:val="28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28"/>
          <w:szCs w:val="28"/>
        </w:rPr>
        <w:t>、硬件与显示要求</w:t>
      </w:r>
    </w:p>
    <w:p w14:paraId="4A7A79D2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触屏操作：配备彩色液晶显示屏，尺寸</w:t>
      </w: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>≥10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英寸，分辨率</w:t>
      </w: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>≥1024×768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，支持触控操作，显示清晰、操作便捷。</w:t>
      </w:r>
    </w:p>
    <w:p w14:paraId="33D055D6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多语言界面：支持中文及英文语言界面，便于不同用户操作。</w:t>
      </w:r>
    </w:p>
    <w:p w14:paraId="3CB1CE24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参数设置：用户开机后可快速进入手术电极连接指南或操作导航界面，便于快速上手操作。</w:t>
      </w:r>
    </w:p>
    <w:p w14:paraId="7D8DA188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操作方式：支持旋钮和</w:t>
      </w:r>
      <w:r>
        <w:rPr>
          <w:rFonts w:hint="default" w:ascii="Calibri" w:hAnsi="Calibri" w:eastAsia="微软雅黑" w:cs="Times New Roman"/>
          <w:kern w:val="0"/>
          <w:sz w:val="20"/>
          <w:szCs w:val="20"/>
          <w:lang w:val="en-US" w:eastAsia="zh-CN" w:bidi="ar"/>
        </w:rPr>
        <w:t>/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或触屏操作，可调节刺激电流强度和系统音量，操作简便。</w:t>
      </w:r>
    </w:p>
    <w:p w14:paraId="7141EC2F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刺激电流快速选择：具有快速选择预设电流值的功能，支持一键切换常用电流档位。</w:t>
      </w:r>
    </w:p>
    <w:p w14:paraId="569606A6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音频输出：具备多种提示音功能（如开机提示音、事件提示音、刺激提示音等），音频输出强度可调，满足术中监测的听觉反馈需求。</w:t>
      </w:r>
    </w:p>
    <w:p w14:paraId="5BDB0A7B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气管插管选择：支持的气管插管内径规格覆盖</w:t>
      </w: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>5.5mm—8.5mm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范围，满足不同患者需求，管身材质符合临床使用标准。</w:t>
      </w:r>
    </w:p>
    <w:p w14:paraId="5D93E87E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刺激探头选择：支持多种刺激探头</w:t>
      </w: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>/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针，刺激探头长度覆盖直型</w:t>
      </w: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>80mm—330mm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、弯型</w:t>
      </w: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>270mm—330mm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范围，满足不同术式需求；所配刺激探头须具有独立医疗器械注册证。</w:t>
      </w:r>
    </w:p>
    <w:p w14:paraId="037394F9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可选配腔镜下带探测神经功能的内窥镜分离钳。</w:t>
      </w:r>
    </w:p>
    <w:p w14:paraId="0169F5CC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最大波幅保持功能：具备波形最大波幅保持功能，便于对监测结果的记录和判断。</w:t>
      </w:r>
    </w:p>
    <w:p w14:paraId="6D67C178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事件捕捉功能：波幅高于设定阈值时，可将肌电信号波形和数值固定在屏幕上便于分析，直到下一个信号被捕捉；波幅低于阈值时，肌电信号不被固定，便于术中事件信息的分析和管理。</w:t>
      </w:r>
    </w:p>
    <w:p w14:paraId="727D1CE8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通道管理功能：具备可选择的通道关闭功能，可独立关闭指定通道的显示和</w:t>
      </w:r>
      <w:r>
        <w:rPr>
          <w:rFonts w:hint="default" w:ascii="Calibri" w:hAnsi="Calibri" w:eastAsia="微软雅黑" w:cs="Times New Roman"/>
          <w:kern w:val="0"/>
          <w:sz w:val="20"/>
          <w:szCs w:val="20"/>
          <w:lang w:val="en-US" w:eastAsia="zh-CN" w:bidi="ar"/>
        </w:rPr>
        <w:t>/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或声音，便于排除干扰通道的影响。</w:t>
      </w:r>
    </w:p>
    <w:p w14:paraId="135FF817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扫描延迟功能：具备可设置的扫描延迟功能，用于排除刺激伪迹对事件波形判断和计算的影响。</w:t>
      </w:r>
    </w:p>
    <w:p w14:paraId="33617605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数据导出：具备外接</w:t>
      </w:r>
      <w:r>
        <w:rPr>
          <w:rFonts w:hint="default" w:ascii="Calibri" w:hAnsi="Calibri" w:eastAsia="微软雅黑" w:cs="Times New Roman"/>
          <w:kern w:val="0"/>
          <w:sz w:val="20"/>
          <w:szCs w:val="20"/>
          <w:lang w:val="en-US" w:eastAsia="zh-CN" w:bidi="ar"/>
        </w:rPr>
        <w:t>USB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端口，支持导出术中肌电波形数据文件，格式至少包含</w:t>
      </w: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>TXT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或通用格式。</w:t>
      </w:r>
    </w:p>
    <w:p w14:paraId="555DFBA1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一体化设计，体积小巧，便于携带，整机重量</w:t>
      </w:r>
      <w:r>
        <w:rPr>
          <w:rFonts w:hint="default" w:ascii="Calibri" w:hAnsi="Calibri" w:eastAsia="微软雅黑" w:cs="Calibri"/>
          <w:kern w:val="0"/>
          <w:sz w:val="20"/>
          <w:szCs w:val="20"/>
          <w:lang w:val="en-US" w:eastAsia="zh-CN" w:bidi="ar"/>
        </w:rPr>
        <w:t>≤6kg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。</w:t>
      </w:r>
    </w:p>
    <w:p w14:paraId="6FF18E10">
      <w:pPr>
        <w:pStyle w:val="30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软件升级：支持通过</w:t>
      </w:r>
      <w:r>
        <w:rPr>
          <w:rFonts w:hint="default" w:ascii="Calibri" w:hAnsi="Calibri" w:eastAsia="微软雅黑" w:cs="Times New Roman"/>
          <w:kern w:val="0"/>
          <w:sz w:val="20"/>
          <w:szCs w:val="20"/>
          <w:lang w:val="en-US" w:eastAsia="zh-CN" w:bidi="ar"/>
        </w:rPr>
        <w:t>U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盘或网络等方式进行系统软件升级，操作便捷。</w:t>
      </w:r>
    </w:p>
    <w:p w14:paraId="2F81F2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0" w:right="0"/>
        <w:jc w:val="left"/>
        <w:textAlignment w:val="auto"/>
        <w:rPr>
          <w:rFonts w:hint="default" w:ascii="Calibri" w:hAnsi="Calibri" w:eastAsia="MS Gothic" w:cs="Times New Roman"/>
          <w:b/>
          <w:bCs/>
          <w:color w:val="4F81BD"/>
          <w:sz w:val="24"/>
          <w:szCs w:val="24"/>
        </w:rPr>
      </w:pPr>
      <w:r>
        <w:rPr>
          <w:rFonts w:hint="eastAsia" w:ascii="Cambria" w:hAnsi="Cambria" w:eastAsia="ＭＳ 明朝" w:cs="Times New Roman"/>
          <w:kern w:val="0"/>
          <w:sz w:val="21"/>
          <w:szCs w:val="21"/>
          <w:lang w:val="en-US" w:eastAsia="zh-CN" w:bidi="ar"/>
        </w:rPr>
        <w:t>二</w:t>
      </w: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28"/>
          <w:szCs w:val="28"/>
        </w:rPr>
        <w:t>、配置要求</w:t>
      </w:r>
    </w:p>
    <w:p w14:paraId="49A250E7">
      <w:pPr>
        <w:pStyle w:val="30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肌电诱发电位监测仪主机</w:t>
      </w:r>
      <w:r>
        <w:rPr>
          <w:rFonts w:hint="default" w:ascii="Calibri" w:hAnsi="Calibri" w:eastAsia="微软雅黑" w:cs="Times New Roman"/>
          <w:kern w:val="0"/>
          <w:sz w:val="20"/>
          <w:szCs w:val="20"/>
          <w:lang w:val="en-US" w:eastAsia="zh-CN" w:bidi="ar"/>
        </w:rPr>
        <w:t xml:space="preserve"> 1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台</w:t>
      </w:r>
    </w:p>
    <w:p w14:paraId="12A74C93">
      <w:pPr>
        <w:pStyle w:val="30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界面盒（电极连接盒）</w:t>
      </w:r>
      <w:r>
        <w:rPr>
          <w:rFonts w:hint="default" w:ascii="Calibri" w:hAnsi="Calibri" w:eastAsia="微软雅黑" w:cs="Times New Roman"/>
          <w:kern w:val="0"/>
          <w:sz w:val="20"/>
          <w:szCs w:val="20"/>
          <w:lang w:val="en-US" w:eastAsia="zh-CN" w:bidi="ar"/>
        </w:rPr>
        <w:t xml:space="preserve"> 1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个</w:t>
      </w:r>
    </w:p>
    <w:p w14:paraId="393E4164">
      <w:pPr>
        <w:pStyle w:val="30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电源线</w:t>
      </w:r>
      <w:r>
        <w:rPr>
          <w:rFonts w:hint="default" w:ascii="Calibri" w:hAnsi="Calibri" w:eastAsia="微软雅黑" w:cs="Times New Roman"/>
          <w:kern w:val="0"/>
          <w:sz w:val="20"/>
          <w:szCs w:val="20"/>
          <w:lang w:val="en-US" w:eastAsia="zh-CN" w:bidi="ar"/>
        </w:rPr>
        <w:t xml:space="preserve"> 1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根</w:t>
      </w:r>
    </w:p>
    <w:p w14:paraId="1DA15D44">
      <w:pPr>
        <w:pStyle w:val="30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rFonts w:hint="default" w:ascii="Cambria" w:hAnsi="Cambria" w:eastAsia="ＭＳ 明朝" w:cs="Times New Roman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抗干扰线</w:t>
      </w:r>
      <w:r>
        <w:rPr>
          <w:rFonts w:hint="default" w:ascii="Calibri" w:hAnsi="Calibri" w:eastAsia="微软雅黑" w:cs="Times New Roman"/>
          <w:kern w:val="0"/>
          <w:sz w:val="20"/>
          <w:szCs w:val="20"/>
          <w:lang w:val="en-US" w:eastAsia="zh-CN" w:bidi="ar"/>
        </w:rPr>
        <w:t xml:space="preserve"> 1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根</w:t>
      </w:r>
    </w:p>
    <w:p w14:paraId="2B82B960">
      <w:pPr>
        <w:pStyle w:val="30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120" w:afterAutospacing="0" w:line="240" w:lineRule="auto"/>
        <w:ind w:left="360" w:right="0" w:hanging="360"/>
        <w:contextualSpacing/>
        <w:jc w:val="left"/>
        <w:textAlignment w:val="auto"/>
        <w:rPr>
          <w:lang w:val="en-US" w:eastAsia="en-US"/>
        </w:rPr>
      </w:pP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配套软件及操作说明书</w:t>
      </w:r>
      <w:r>
        <w:rPr>
          <w:rFonts w:hint="default" w:ascii="Calibri" w:hAnsi="Calibri" w:eastAsia="微软雅黑" w:cs="Times New Roman"/>
          <w:kern w:val="0"/>
          <w:sz w:val="20"/>
          <w:szCs w:val="20"/>
          <w:lang w:val="en-US" w:eastAsia="zh-CN" w:bidi="ar"/>
        </w:rPr>
        <w:t xml:space="preserve"> 1</w:t>
      </w:r>
      <w:r>
        <w:rPr>
          <w:rFonts w:hint="eastAsia" w:ascii="微软雅黑" w:hAnsi="微软雅黑" w:eastAsia="微软雅黑" w:cs="微软雅黑"/>
          <w:kern w:val="0"/>
          <w:sz w:val="20"/>
          <w:szCs w:val="20"/>
          <w:lang w:val="en-US" w:eastAsia="zh-CN" w:bidi="ar"/>
        </w:rPr>
        <w:t>套</w:t>
      </w:r>
      <w:bookmarkStart w:id="0" w:name="_GoBack"/>
      <w:bookmarkEnd w:id="0"/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舒圆体 W03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舒圆体 W03">
    <w:panose1 w:val="02020400000000000000"/>
    <w:charset w:val="80"/>
    <w:family w:val="auto"/>
    <w:pitch w:val="default"/>
    <w:sig w:usb0="80000023" w:usb1="08C10458" w:usb2="00000012" w:usb3="00000000" w:csb0="0002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00667382"/>
    <w:multiLevelType w:val="multilevel"/>
    <w:tmpl w:val="00667382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52690"/>
    <w:rsid w:val="00CB0664"/>
    <w:rsid w:val="00FC693F"/>
    <w:rsid w:val="0BB06EC4"/>
    <w:rsid w:val="13CB5FFB"/>
    <w:rsid w:val="15074D7D"/>
    <w:rsid w:val="17C72484"/>
    <w:rsid w:val="1901426D"/>
    <w:rsid w:val="1E5F5CBE"/>
    <w:rsid w:val="234C07DB"/>
    <w:rsid w:val="2E5F5866"/>
    <w:rsid w:val="304271ED"/>
    <w:rsid w:val="54E87AB4"/>
    <w:rsid w:val="55503AA9"/>
    <w:rsid w:val="555743AC"/>
    <w:rsid w:val="5ADC3C17"/>
    <w:rsid w:val="6F1142B2"/>
    <w:rsid w:val="77996CC0"/>
    <w:rsid w:val="790A6434"/>
    <w:rsid w:val="B9FEC42E"/>
    <w:rsid w:val="E3D7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uiPriority w:val="99"/>
    <w:rPr>
      <w:sz w:val="24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qFormat/>
    <w:uiPriority w:val="99"/>
  </w:style>
  <w:style w:type="character" w:customStyle="1" w:styleId="137">
    <w:name w:val="Footer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qFormat/>
    <w:uiPriority w:val="99"/>
  </w:style>
  <w:style w:type="character" w:customStyle="1" w:styleId="146">
    <w:name w:val="Body Text 2 Char"/>
    <w:basedOn w:val="133"/>
    <w:link w:val="28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1126</Words>
  <Characters>1318</Characters>
  <Lines>0</Lines>
  <Paragraphs>0</Paragraphs>
  <TotalTime>9</TotalTime>
  <ScaleCrop>false</ScaleCrop>
  <LinksUpToDate>false</LinksUpToDate>
  <CharactersWithSpaces>1320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袁嘉瑜</cp:lastModifiedBy>
  <dcterms:modified xsi:type="dcterms:W3CDTF">2026-08-31T03:04:36Z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DAE42BF9148906A92835606AC6BC641B_43</vt:lpwstr>
  </property>
  <property fmtid="{D5CDD505-2E9C-101B-9397-08002B2CF9AE}" pid="4" name="KSOTemplateDocerSaveRecord">
    <vt:lpwstr>eyJoZGlkIjoiZmQwYTg1Zjk5YTM4NzlkNzBiMjk1ZTVlNWY5MGM2MTQiLCJ1c2VySWQiOiI1NzMxNjcxMzkifQ==</vt:lpwstr>
  </property>
</Properties>
</file>