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93BE7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  <w:lang w:eastAsia="zh-CN"/>
        </w:rPr>
        <w:t>净化区域维保服务</w:t>
      </w:r>
      <w:r>
        <w:rPr>
          <w:rFonts w:hint="eastAsia"/>
          <w:b/>
          <w:bCs/>
          <w:sz w:val="36"/>
          <w:szCs w:val="44"/>
        </w:rPr>
        <w:t>方案推荐书目录</w:t>
      </w:r>
    </w:p>
    <w:p w14:paraId="0CF1D104">
      <w:pPr>
        <w:jc w:val="center"/>
        <w:rPr>
          <w:rFonts w:hint="eastAsia"/>
          <w:b/>
          <w:bCs/>
          <w:sz w:val="36"/>
          <w:szCs w:val="44"/>
        </w:rPr>
      </w:pPr>
    </w:p>
    <w:p w14:paraId="3505932A"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维保报价</w:t>
      </w:r>
    </w:p>
    <w:p w14:paraId="2622CC4C"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具体维保方案</w:t>
      </w:r>
    </w:p>
    <w:p w14:paraId="6ACF6068"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公司情况介绍</w:t>
      </w:r>
    </w:p>
    <w:p w14:paraId="1EB7B6C9">
      <w:pPr>
        <w:numPr>
          <w:ilvl w:val="0"/>
          <w:numId w:val="2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公司情况说明</w:t>
      </w:r>
    </w:p>
    <w:p w14:paraId="5AA88C57">
      <w:pPr>
        <w:numPr>
          <w:ilvl w:val="0"/>
          <w:numId w:val="2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公司2025年财务状况</w:t>
      </w:r>
    </w:p>
    <w:p w14:paraId="7958E594">
      <w:pPr>
        <w:numPr>
          <w:ilvl w:val="0"/>
          <w:numId w:val="2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配件仓库说明（附图片）</w:t>
      </w:r>
    </w:p>
    <w:p w14:paraId="54E8524C">
      <w:pPr>
        <w:numPr>
          <w:ilvl w:val="0"/>
          <w:numId w:val="2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专项维修检测设备说明（附图片）</w:t>
      </w:r>
    </w:p>
    <w:p w14:paraId="04ABCFA8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资格证明材料</w:t>
      </w:r>
    </w:p>
    <w:p w14:paraId="31E8AE11">
      <w:pPr>
        <w:numPr>
          <w:ilvl w:val="0"/>
          <w:numId w:val="3"/>
        </w:numPr>
        <w:ind w:leftChars="0"/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公司三证</w:t>
      </w:r>
    </w:p>
    <w:p w14:paraId="1C2DADC8">
      <w:pPr>
        <w:numPr>
          <w:ilvl w:val="0"/>
          <w:numId w:val="3"/>
        </w:numPr>
        <w:ind w:leftChars="0"/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企业认证证明</w:t>
      </w:r>
    </w:p>
    <w:p w14:paraId="081F70BC">
      <w:pPr>
        <w:numPr>
          <w:ilvl w:val="0"/>
          <w:numId w:val="3"/>
        </w:numPr>
        <w:ind w:leftChars="0"/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维修人员配置情况（包含维修人员培训证、资格证）</w:t>
      </w:r>
    </w:p>
    <w:p w14:paraId="35F89889">
      <w:pPr>
        <w:numPr>
          <w:ilvl w:val="0"/>
          <w:numId w:val="3"/>
        </w:numPr>
        <w:ind w:leftChars="0"/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法人代表及授权委托书</w:t>
      </w:r>
    </w:p>
    <w:p w14:paraId="5C972B46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同类项目业绩介绍（用户名单及合同至少5份）</w:t>
      </w:r>
    </w:p>
    <w:p w14:paraId="3BC1EDEB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 w14:paraId="731E24AD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注：推荐书每页需加盖公章</w:t>
      </w:r>
    </w:p>
    <w:p w14:paraId="3B672F04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 w14:paraId="44B91E72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 w14:paraId="455BAE94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 w14:paraId="05696683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 w14:paraId="4DEEE2C5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 w14:paraId="0EE105AA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评分细则如下：</w:t>
      </w:r>
    </w:p>
    <w:p w14:paraId="4D5397E7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 w14:paraId="38E90F21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-229"/>
        <w:tblOverlap w:val="never"/>
        <w:tblW w:w="10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259"/>
        <w:gridCol w:w="6783"/>
        <w:gridCol w:w="1134"/>
      </w:tblGrid>
      <w:tr w14:paraId="5F29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7205FDE4">
            <w:pPr>
              <w:spacing w:line="288" w:lineRule="auto"/>
              <w:ind w:right="-107" w:rightChars="-51"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细则</w:t>
            </w:r>
          </w:p>
          <w:p w14:paraId="0C98DA44">
            <w:pPr>
              <w:spacing w:line="288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D2BD0F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评审内容</w:t>
            </w:r>
          </w:p>
        </w:tc>
        <w:tc>
          <w:tcPr>
            <w:tcW w:w="6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E75622">
            <w:pPr>
              <w:spacing w:line="288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评分标准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688FF6">
            <w:pPr>
              <w:spacing w:line="288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分值</w:t>
            </w:r>
          </w:p>
        </w:tc>
      </w:tr>
      <w:tr w14:paraId="7170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6C2FBF65">
            <w:pPr>
              <w:spacing w:line="288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17D9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6117">
            <w:pPr>
              <w:spacing w:line="288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87BB">
            <w:pPr>
              <w:spacing w:line="288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29D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E691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价格分</w:t>
            </w:r>
          </w:p>
          <w:p w14:paraId="7F049BF9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B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投标报价</w:t>
            </w:r>
          </w:p>
        </w:tc>
        <w:tc>
          <w:tcPr>
            <w:tcW w:w="6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91791AC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价格分采用低价优先法计算，即满足</w:t>
            </w:r>
            <w:r>
              <w:rPr>
                <w:rFonts w:hint="eastAsia" w:ascii="宋体" w:hAnsi="宋体"/>
                <w:szCs w:val="21"/>
                <w:lang w:eastAsia="zh-CN"/>
              </w:rPr>
              <w:t>论证</w:t>
            </w:r>
            <w:r>
              <w:rPr>
                <w:rFonts w:hint="eastAsia" w:ascii="宋体" w:hAnsi="宋体"/>
                <w:szCs w:val="21"/>
              </w:rPr>
              <w:t>文件要求且投标价格最低的投标报价为评标基准价，其价格分为满分。其他投标人的价格分统一按下列公式计算：投标报价得分=（评标基准价/投标报价）×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0；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440B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 w14:paraId="2F23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8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7BE95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技术部分</w:t>
            </w:r>
          </w:p>
          <w:p w14:paraId="6BBC20D5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C4135">
            <w:pPr>
              <w:spacing w:line="440" w:lineRule="exact"/>
              <w:ind w:left="122" w:leftChars="58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投标人整体方案评比</w:t>
            </w:r>
          </w:p>
        </w:tc>
        <w:tc>
          <w:tcPr>
            <w:tcW w:w="6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AE73578">
            <w:pPr>
              <w:tabs>
                <w:tab w:val="left" w:pos="-720"/>
              </w:tabs>
              <w:suppressAutoHyphens/>
              <w:spacing w:line="44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根据各投标人提供的维保实施方案：包括维保组织、维保计划、维保技术应用、实验室系统操作培训、故障预防及预警措施等方案进行评审。</w:t>
            </w:r>
          </w:p>
          <w:p w14:paraId="63DF130D">
            <w:pPr>
              <w:tabs>
                <w:tab w:val="left" w:pos="-720"/>
              </w:tabs>
              <w:suppressAutoHyphens/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优：（11-15分）；</w:t>
            </w:r>
            <w:r>
              <w:rPr>
                <w:rFonts w:hint="eastAsia" w:ascii="宋体" w:hAnsi="宋体" w:cs="宋体"/>
                <w:szCs w:val="21"/>
              </w:rPr>
              <w:t>良：（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-1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）分；差：（0-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0B9459">
            <w:pPr>
              <w:pStyle w:val="3"/>
              <w:spacing w:line="440" w:lineRule="exact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 w14:paraId="3632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96967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BB63C">
            <w:pPr>
              <w:spacing w:line="440" w:lineRule="exact"/>
              <w:ind w:left="122" w:leftChars="58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对本项目设备的熟悉程度</w:t>
            </w:r>
          </w:p>
        </w:tc>
        <w:tc>
          <w:tcPr>
            <w:tcW w:w="6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34729FA">
            <w:pPr>
              <w:pStyle w:val="3"/>
              <w:spacing w:line="360" w:lineRule="auto"/>
              <w:ind w:firstLine="0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根据投标人对本项目设备以往技术要点及设备情况的熟悉、理解程度进行综合评定，提供相关材料做为依据。</w:t>
            </w:r>
          </w:p>
          <w:p w14:paraId="3476FA61">
            <w:pPr>
              <w:tabs>
                <w:tab w:val="left" w:pos="-720"/>
              </w:tabs>
              <w:suppressAutoHyphens/>
              <w:spacing w:line="44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优：（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分）；良：（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分）；差：（0-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3E53B7">
            <w:pPr>
              <w:pStyle w:val="3"/>
              <w:spacing w:line="440" w:lineRule="exact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 w14:paraId="1564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DF4F8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AB5EB">
            <w:pPr>
              <w:pStyle w:val="3"/>
              <w:spacing w:line="440" w:lineRule="exact"/>
              <w:ind w:left="101" w:leftChars="48" w:right="141" w:rightChars="67" w:firstLine="10" w:firstLineChars="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投标人配件、工具储备情况</w:t>
            </w:r>
          </w:p>
        </w:tc>
        <w:tc>
          <w:tcPr>
            <w:tcW w:w="6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530CE94">
            <w:pPr>
              <w:pStyle w:val="4"/>
              <w:spacing w:line="380" w:lineRule="exact"/>
              <w:outlineLvl w:val="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</w:t>
            </w:r>
            <w:r>
              <w:rPr>
                <w:rFonts w:hint="eastAsia" w:ascii="新宋体" w:hAnsi="新宋体" w:eastAsia="新宋体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</w:rPr>
              <w:t>）</w:t>
            </w:r>
            <w:r>
              <w:rPr>
                <w:rFonts w:hint="eastAsia" w:ascii="新宋体" w:hAnsi="新宋体" w:eastAsia="新宋体"/>
                <w:lang w:val="zh-CN" w:eastAsia="zh-CN"/>
              </w:rPr>
              <w:t>投标人在省内设有服务机构，</w:t>
            </w:r>
            <w:r>
              <w:rPr>
                <w:rFonts w:hint="eastAsia" w:ascii="新宋体" w:hAnsi="新宋体" w:eastAsia="新宋体"/>
                <w:lang w:val="en-US" w:eastAsia="zh-CN"/>
              </w:rPr>
              <w:t>并设有</w:t>
            </w:r>
            <w:r>
              <w:rPr>
                <w:rFonts w:hint="eastAsia" w:ascii="新宋体" w:hAnsi="新宋体" w:eastAsia="新宋体"/>
                <w:lang w:val="zh-CN" w:eastAsia="zh-CN"/>
              </w:rPr>
              <w:t>配件仓库，</w:t>
            </w:r>
            <w:r>
              <w:rPr>
                <w:rFonts w:hint="eastAsia" w:ascii="新宋体" w:hAnsi="新宋体" w:eastAsia="新宋体"/>
                <w:lang w:val="en-US" w:eastAsia="zh-CN"/>
              </w:rPr>
              <w:t>有完整的设备备件</w:t>
            </w:r>
            <w:r>
              <w:rPr>
                <w:rFonts w:hint="eastAsia" w:ascii="新宋体" w:hAnsi="新宋体" w:eastAsia="新宋体"/>
                <w:lang w:val="zh-CN" w:eastAsia="zh-CN"/>
              </w:rPr>
              <w:t>（须提供相关证明材料）。</w:t>
            </w:r>
            <w:r>
              <w:rPr>
                <w:rFonts w:hint="eastAsia" w:ascii="新宋体" w:hAnsi="新宋体" w:eastAsia="新宋体"/>
              </w:rPr>
              <w:t>全部提供得</w:t>
            </w:r>
            <w:r>
              <w:rPr>
                <w:rFonts w:hint="eastAsia" w:ascii="新宋体" w:hAnsi="新宋体" w:eastAsia="新宋体"/>
                <w:lang w:val="en-US" w:eastAsia="zh-CN"/>
              </w:rPr>
              <w:t>3</w:t>
            </w:r>
            <w:r>
              <w:rPr>
                <w:rFonts w:hint="eastAsia" w:ascii="新宋体" w:hAnsi="新宋体" w:eastAsia="新宋体"/>
              </w:rPr>
              <w:t>分</w:t>
            </w:r>
            <w:r>
              <w:rPr>
                <w:rFonts w:hint="eastAsia" w:ascii="新宋体" w:hAnsi="新宋体" w:eastAsia="新宋体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</w:rPr>
              <w:t>提供不全或未提供者不得分。</w:t>
            </w:r>
          </w:p>
          <w:p w14:paraId="5383D229">
            <w:pPr>
              <w:pStyle w:val="4"/>
              <w:spacing w:line="380" w:lineRule="exact"/>
              <w:outlineLvl w:val="0"/>
              <w:rPr>
                <w:rFonts w:hAnsi="宋体"/>
              </w:rPr>
            </w:pPr>
            <w:r>
              <w:rPr>
                <w:rFonts w:hint="eastAsia" w:ascii="新宋体" w:hAnsi="新宋体" w:eastAsia="新宋体"/>
              </w:rPr>
              <w:t>（</w:t>
            </w:r>
            <w:r>
              <w:rPr>
                <w:rFonts w:hint="eastAsia" w:ascii="新宋体" w:hAnsi="新宋体" w:eastAsia="新宋体"/>
                <w:lang w:val="en-US" w:eastAsia="zh-CN"/>
              </w:rPr>
              <w:t>2</w:t>
            </w:r>
            <w:r>
              <w:rPr>
                <w:rFonts w:hint="eastAsia" w:ascii="新宋体" w:hAnsi="新宋体" w:eastAsia="新宋体"/>
              </w:rPr>
              <w:t>）投标人须具有本项目设备维修涉及的全套专业维修工具</w:t>
            </w:r>
            <w:r>
              <w:rPr>
                <w:rFonts w:hint="eastAsia" w:ascii="新宋体" w:hAnsi="新宋体" w:eastAsia="新宋体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lang w:val="en-US" w:eastAsia="zh-CN"/>
              </w:rPr>
              <w:t>需提供相关证明材料</w:t>
            </w:r>
            <w:r>
              <w:rPr>
                <w:rFonts w:hint="eastAsia" w:ascii="新宋体" w:hAnsi="新宋体" w:eastAsia="新宋体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</w:rPr>
              <w:t>全部提供得</w:t>
            </w:r>
            <w:r>
              <w:rPr>
                <w:rFonts w:hint="eastAsia" w:ascii="新宋体" w:hAnsi="新宋体" w:eastAsia="新宋体"/>
                <w:lang w:val="en-US" w:eastAsia="zh-CN"/>
              </w:rPr>
              <w:t>2</w:t>
            </w:r>
            <w:r>
              <w:rPr>
                <w:rFonts w:hint="eastAsia" w:ascii="新宋体" w:hAnsi="新宋体" w:eastAsia="新宋体"/>
              </w:rPr>
              <w:t>分，不提供者不得分。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418B71">
            <w:pPr>
              <w:pStyle w:val="3"/>
              <w:spacing w:line="440" w:lineRule="exact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 w14:paraId="5BA3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C2F6F">
            <w:pPr>
              <w:autoSpaceDE w:val="0"/>
              <w:autoSpaceDN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48853">
            <w:pPr>
              <w:pStyle w:val="3"/>
              <w:spacing w:line="440" w:lineRule="exact"/>
              <w:ind w:left="101" w:leftChars="48" w:right="141" w:rightChars="67" w:firstLine="10" w:firstLineChars="5"/>
              <w:rPr>
                <w:rFonts w:hint="eastAsia" w:ascii="新宋体" w:hAnsi="新宋体" w:eastAsia="新宋体" w:cs="Courier New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新宋体" w:hAnsi="新宋体" w:eastAsia="新宋体" w:cs="Courier New"/>
                <w:kern w:val="2"/>
                <w:sz w:val="21"/>
                <w:szCs w:val="21"/>
                <w:lang w:val="zh-CN" w:eastAsia="zh-CN" w:bidi="ar-SA"/>
              </w:rPr>
              <w:t>投标供应商拟投入本项目的人员配置情况</w:t>
            </w:r>
          </w:p>
        </w:tc>
        <w:tc>
          <w:tcPr>
            <w:tcW w:w="6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E2716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新宋体" w:hAnsi="新宋体" w:eastAsia="新宋体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投标人拟投入本项目的驻场服务人员须具备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22"/>
                <w:szCs w:val="22"/>
                <w:shd w:val="clear" w:fill="FAFAFA"/>
              </w:rPr>
              <w:t>暖通/机电相关专业背景，持有制冷与空调设备安装修理作业证、电工作业证</w:t>
            </w:r>
            <w:r>
              <w:rPr>
                <w:rFonts w:hint="eastAsia"/>
                <w:lang w:val="en-US" w:eastAsia="zh-CN"/>
              </w:rPr>
              <w:t>，每提供一名人员得2分，最可得10分。</w:t>
            </w:r>
            <w:r>
              <w:rPr>
                <w:rFonts w:hint="eastAsia"/>
                <w:lang w:val="zh-CN"/>
              </w:rPr>
              <w:t>备注：需提供①相关服务人员清单；②服务人员证书复印件；③投标人为服务人员缴纳的投标截止时间前3个月内任意一个月的社保证明复印件文件或劳动合同</w:t>
            </w:r>
            <w:r>
              <w:rPr>
                <w:rFonts w:hint="eastAsia"/>
              </w:rPr>
              <w:t>复印件</w:t>
            </w:r>
            <w:r>
              <w:rPr>
                <w:rFonts w:hint="eastAsia"/>
                <w:lang w:val="zh-CN"/>
              </w:rPr>
              <w:t>，不提供的或提供不全的不得分。</w:t>
            </w:r>
            <w:r>
              <w:rPr>
                <w:rFonts w:hint="eastAsia" w:ascii="新宋体" w:hAnsi="新宋体" w:eastAsia="新宋体" w:cs="Courier New"/>
                <w:kern w:val="2"/>
                <w:sz w:val="21"/>
                <w:szCs w:val="21"/>
                <w:lang w:val="zh-TW" w:eastAsia="zh-TW" w:bidi="ar-SA"/>
              </w:rPr>
              <w:t>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866CA5">
            <w:pPr>
              <w:pStyle w:val="3"/>
              <w:spacing w:line="440" w:lineRule="exact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 w14:paraId="485E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  <w:jc w:val="center"/>
        </w:trPr>
        <w:tc>
          <w:tcPr>
            <w:tcW w:w="8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2CA45C">
            <w:pPr>
              <w:spacing w:line="288" w:lineRule="auto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商务部分</w:t>
            </w:r>
          </w:p>
          <w:p w14:paraId="02DAFE29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43CEB">
            <w:pPr>
              <w:pStyle w:val="3"/>
              <w:spacing w:line="440" w:lineRule="exact"/>
              <w:ind w:left="101" w:leftChars="48" w:right="141" w:rightChars="67" w:firstLine="10" w:firstLineChars="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同类项目业绩证明</w:t>
            </w:r>
          </w:p>
        </w:tc>
        <w:tc>
          <w:tcPr>
            <w:tcW w:w="6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8B44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zh-CN" w:eastAsia="zh-CN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投标人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Hans" w:bidi="ar-SA"/>
              </w:rPr>
              <w:t>自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zh-CN" w:eastAsia="zh-CN" w:bidi="ar-SA"/>
              </w:rPr>
              <w:t>20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23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zh-CN" w:eastAsia="zh-CN" w:bidi="ar-SA"/>
              </w:rPr>
              <w:t>年以来（以合同签订日期为准）已完成的或在服务的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净化</w:t>
            </w:r>
            <w:bookmarkStart w:id="1" w:name="_GoBack"/>
            <w:bookmarkEnd w:id="1"/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维保服务相关项目的业绩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zh-CN" w:eastAsia="zh-CN" w:bidi="ar-SA"/>
              </w:rPr>
              <w:t>，每提供一个得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2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zh-CN" w:eastAsia="zh-CN" w:bidi="ar-SA"/>
              </w:rPr>
              <w:t>分，最高得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10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zh-CN" w:eastAsia="zh-CN" w:bidi="ar-SA"/>
              </w:rPr>
              <w:t>分（同一单位只计一次分）。</w:t>
            </w:r>
          </w:p>
          <w:p w14:paraId="50E4CBE7">
            <w:pPr>
              <w:pStyle w:val="3"/>
              <w:spacing w:line="440" w:lineRule="exact"/>
              <w:ind w:firstLine="0" w:firstLineChars="0"/>
              <w:rPr>
                <w:rFonts w:ascii="宋体" w:hAnsi="宋体"/>
                <w:szCs w:val="21"/>
              </w:rPr>
            </w:pPr>
            <w:bookmarkStart w:id="0" w:name="_Toc18588"/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Hans" w:bidi="ar-SA"/>
              </w:rPr>
              <w:t>【注：提供中标通知书、合同关键页复印件（需包含项目内容、签署双方单位名称、签署日期等内容），时间以合同签订时间为准，不提供不得分。】</w:t>
            </w:r>
            <w:bookmarkEnd w:id="0"/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3C110">
            <w:pPr>
              <w:pStyle w:val="3"/>
              <w:spacing w:line="44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 w14:paraId="3A346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09C57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759D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企业认证</w:t>
            </w:r>
          </w:p>
          <w:p w14:paraId="18A4C434">
            <w:pPr>
              <w:pStyle w:val="3"/>
              <w:spacing w:line="440" w:lineRule="exact"/>
              <w:ind w:left="126" w:leftChars="60" w:right="141" w:rightChars="67"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6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E8270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 w:right="0" w:rightChars="0"/>
              <w:jc w:val="left"/>
              <w:textAlignment w:val="auto"/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  <w:p w14:paraId="559C26D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 w:right="0" w:rightChars="0"/>
              <w:jc w:val="left"/>
              <w:textAlignment w:val="auto"/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Hans" w:bidi="ar-SA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投标人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Hans" w:bidi="ar-SA"/>
              </w:rPr>
              <w:t>具有有效期内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认证范围涵盖医疗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Hans" w:bidi="ar-SA"/>
              </w:rPr>
              <w:t>净化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层流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Hans" w:bidi="ar-SA"/>
              </w:rPr>
              <w:t>系统的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采购、安装及运行维护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Hans" w:bidi="ar-SA"/>
              </w:rPr>
              <w:t>服务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范围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Hans" w:bidi="ar-SA"/>
              </w:rPr>
              <w:t>的质量管理体系认证、环境管理体系认证、职业健康安全管理体系认证，每提供1个得</w:t>
            </w:r>
            <w:r>
              <w:rPr>
                <w:rFonts w:hint="eastAsia" w:ascii="仿宋_GB2312" w:hAnsi="Times New Roman" w:cs="Times New Roman"/>
                <w:kern w:val="2"/>
                <w:sz w:val="21"/>
                <w:szCs w:val="20"/>
                <w:lang w:val="en-US" w:eastAsia="zh-CN" w:bidi="ar-SA"/>
              </w:rPr>
              <w:t>2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Hans" w:bidi="ar-SA"/>
              </w:rPr>
              <w:t>分，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最高得</w:t>
            </w:r>
            <w:r>
              <w:rPr>
                <w:rFonts w:hint="eastAsia" w:ascii="仿宋_GB2312" w:hAnsi="Times New Roman" w:cs="Times New Roman"/>
                <w:kern w:val="2"/>
                <w:sz w:val="21"/>
                <w:szCs w:val="20"/>
                <w:lang w:val="en-US" w:eastAsia="zh-CN" w:bidi="ar-SA"/>
              </w:rPr>
              <w:t>6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分</w:t>
            </w:r>
            <w:r>
              <w:rPr>
                <w:rFonts w:hint="eastAsia" w:ascii="仿宋_GB2312" w:hAnsi="Times New Roman" w:eastAsia="宋体" w:cs="Times New Roman"/>
                <w:kern w:val="2"/>
                <w:sz w:val="21"/>
                <w:szCs w:val="20"/>
                <w:lang w:val="en-US" w:eastAsia="zh-Hans" w:bidi="ar-SA"/>
              </w:rPr>
              <w:t>。</w:t>
            </w:r>
          </w:p>
          <w:p w14:paraId="1C0B5EDC">
            <w:pPr>
              <w:pStyle w:val="8"/>
              <w:spacing w:line="446" w:lineRule="exact"/>
              <w:ind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CE21B">
            <w:pPr>
              <w:autoSpaceDE w:val="0"/>
              <w:autoSpaceDN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 w14:paraId="4BAD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A9D81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21D7D">
            <w:pPr>
              <w:pStyle w:val="3"/>
              <w:spacing w:line="440" w:lineRule="exact"/>
              <w:ind w:left="0" w:leftChars="0" w:right="141" w:rightChars="67"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投标人的资金保障能力</w:t>
            </w:r>
          </w:p>
        </w:tc>
        <w:tc>
          <w:tcPr>
            <w:tcW w:w="6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F19FCA">
            <w:pPr>
              <w:spacing w:line="360" w:lineRule="auto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</w:rPr>
              <w:t>投标人</w:t>
            </w:r>
            <w:r>
              <w:rPr>
                <w:rFonts w:cs="宋体"/>
                <w:kern w:val="0"/>
                <w:szCs w:val="21"/>
              </w:rPr>
              <w:t>提供</w:t>
            </w:r>
            <w:r>
              <w:rPr>
                <w:rFonts w:hint="eastAsia" w:ascii="宋体" w:hAnsi="宋体" w:cs="宋体"/>
                <w:bCs/>
              </w:rPr>
              <w:t>提供</w:t>
            </w:r>
            <w:r>
              <w:rPr>
                <w:rFonts w:hint="eastAsia" w:ascii="宋体" w:hAnsi="宋体" w:cs="宋体"/>
                <w:bCs/>
                <w:color w:val="000000"/>
              </w:rPr>
              <w:t>20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Cs/>
                <w:color w:val="000000"/>
              </w:rPr>
              <w:t>年度</w:t>
            </w:r>
            <w:r>
              <w:rPr>
                <w:rFonts w:hint="eastAsia" w:ascii="宋体" w:hAnsi="宋体" w:cs="宋体"/>
                <w:bCs/>
              </w:rPr>
              <w:t>经会计师事务所审计的财务报表或当地税务部门盖章的纳税申报表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(查看资产总额）</w:t>
            </w:r>
            <w:r>
              <w:rPr>
                <w:rFonts w:hint="eastAsia" w:ascii="宋体" w:hAnsi="宋体" w:cs="宋体"/>
                <w:bCs/>
                <w:lang w:eastAsia="zh-CN"/>
              </w:rPr>
              <w:t>。</w:t>
            </w:r>
          </w:p>
          <w:p w14:paraId="54A8FDF0">
            <w:pPr>
              <w:widowControl/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/>
                <w:bCs/>
              </w:rPr>
              <w:t>≥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</w:rPr>
              <w:t>000万以上</w:t>
            </w:r>
            <w:r>
              <w:rPr>
                <w:rFonts w:cs="宋体"/>
                <w:kern w:val="0"/>
                <w:szCs w:val="21"/>
              </w:rPr>
              <w:t>：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cs="宋体"/>
                <w:kern w:val="0"/>
                <w:szCs w:val="21"/>
              </w:rPr>
              <w:t>分；</w:t>
            </w:r>
          </w:p>
          <w:p w14:paraId="78E11887">
            <w:pPr>
              <w:widowControl/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大于等于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</w:rPr>
              <w:t>000万小于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</w:rPr>
              <w:t>000万</w:t>
            </w:r>
            <w:r>
              <w:rPr>
                <w:rFonts w:cs="宋体"/>
                <w:kern w:val="0"/>
                <w:szCs w:val="21"/>
              </w:rPr>
              <w:t>：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cs="宋体"/>
                <w:kern w:val="0"/>
                <w:szCs w:val="21"/>
              </w:rPr>
              <w:t>分；</w:t>
            </w:r>
          </w:p>
          <w:p w14:paraId="6F2E3A82">
            <w:pPr>
              <w:pStyle w:val="8"/>
              <w:spacing w:line="360" w:lineRule="auto"/>
              <w:ind w:firstLine="0" w:firstLineChars="0"/>
              <w:rPr>
                <w:rFonts w:ascii="仿宋_GB2312"/>
              </w:rPr>
            </w:pPr>
            <w:r>
              <w:rPr>
                <w:rFonts w:hint="eastAsia" w:ascii="宋体" w:hAnsi="宋体" w:cs="宋体"/>
                <w:bCs/>
              </w:rPr>
              <w:t>＜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</w:rPr>
              <w:t>000万</w:t>
            </w:r>
            <w:r>
              <w:rPr>
                <w:rFonts w:cs="宋体"/>
                <w:kern w:val="0"/>
                <w:szCs w:val="21"/>
              </w:rPr>
              <w:t>：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cs="宋体"/>
                <w:kern w:val="0"/>
                <w:szCs w:val="21"/>
              </w:rPr>
              <w:t>分；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83512">
            <w:pPr>
              <w:autoSpaceDE w:val="0"/>
              <w:autoSpaceDN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</w:tbl>
    <w:p w14:paraId="72B696EA">
      <w:pPr>
        <w:numPr>
          <w:ilvl w:val="0"/>
          <w:numId w:val="0"/>
        </w:numPr>
        <w:jc w:val="left"/>
        <w:rPr>
          <w:rFonts w:hint="default"/>
          <w:b/>
          <w:bCs/>
          <w:sz w:val="28"/>
          <w:szCs w:val="36"/>
          <w:lang w:val="en-US" w:eastAsia="zh-CN"/>
        </w:rPr>
      </w:pPr>
    </w:p>
    <w:p w14:paraId="20A458E0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 w14:paraId="3118A080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 w14:paraId="61204767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07A85"/>
    <w:multiLevelType w:val="singleLevel"/>
    <w:tmpl w:val="EF807A8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78C19E4"/>
    <w:multiLevelType w:val="singleLevel"/>
    <w:tmpl w:val="478C19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1C3C4CB"/>
    <w:multiLevelType w:val="singleLevel"/>
    <w:tmpl w:val="51C3C4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Y1ZTQ4OGJmY2IwYWQ4MmE5Zjk0NjM5MTNjMDEifQ=="/>
  </w:docVars>
  <w:rsids>
    <w:rsidRoot w:val="00000000"/>
    <w:rsid w:val="04F75F4D"/>
    <w:rsid w:val="0DED154B"/>
    <w:rsid w:val="0E0B38F0"/>
    <w:rsid w:val="0F784FB5"/>
    <w:rsid w:val="10390BE8"/>
    <w:rsid w:val="11026EC6"/>
    <w:rsid w:val="1A9D1D74"/>
    <w:rsid w:val="1AD52E1E"/>
    <w:rsid w:val="1D0460DA"/>
    <w:rsid w:val="259D70CC"/>
    <w:rsid w:val="2B1A1C68"/>
    <w:rsid w:val="347E36F4"/>
    <w:rsid w:val="3BAE1BDB"/>
    <w:rsid w:val="3F8E1B07"/>
    <w:rsid w:val="429D02B3"/>
    <w:rsid w:val="443B7D84"/>
    <w:rsid w:val="4517434D"/>
    <w:rsid w:val="49793CEA"/>
    <w:rsid w:val="4BA042F3"/>
    <w:rsid w:val="4C912C37"/>
    <w:rsid w:val="4D8233CA"/>
    <w:rsid w:val="4ECC61A8"/>
    <w:rsid w:val="4FE63299"/>
    <w:rsid w:val="5A364E1D"/>
    <w:rsid w:val="5AAC39D0"/>
    <w:rsid w:val="5C125416"/>
    <w:rsid w:val="5F8B64CB"/>
    <w:rsid w:val="64FB68CB"/>
    <w:rsid w:val="688957D7"/>
    <w:rsid w:val="68C1269E"/>
    <w:rsid w:val="6B364A70"/>
    <w:rsid w:val="6B3B6738"/>
    <w:rsid w:val="6BBC155B"/>
    <w:rsid w:val="6BFF1513"/>
    <w:rsid w:val="79200D1B"/>
    <w:rsid w:val="7B7C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autoSpaceDE/>
      <w:autoSpaceDN/>
      <w:adjustRightInd/>
      <w:jc w:val="both"/>
      <w:outlineLvl w:val="2"/>
    </w:pPr>
    <w:rPr>
      <w:rFonts w:ascii="楷体_GB2312" w:hAnsi="楷体_GB2312" w:eastAsia="黑体"/>
      <w:b/>
      <w:bCs/>
      <w:kern w:val="2"/>
      <w:sz w:val="32"/>
      <w:szCs w:val="24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7">
    <w:name w:val="Other|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20" w:lineRule="auto"/>
      <w:ind w:left="0" w:right="0" w:firstLine="36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1147</Characters>
  <Lines>0</Lines>
  <Paragraphs>0</Paragraphs>
  <TotalTime>8</TotalTime>
  <ScaleCrop>false</ScaleCrop>
  <LinksUpToDate>false</LinksUpToDate>
  <CharactersWithSpaces>1148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袁嘉瑜</cp:lastModifiedBy>
  <cp:lastPrinted>2018-08-03T00:02:00Z</cp:lastPrinted>
  <dcterms:modified xsi:type="dcterms:W3CDTF">2026-05-06T01:29:59Z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1444768E399144F782C6423B28328250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