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CF64">
      <w:pPr>
        <w:spacing w:line="560" w:lineRule="exac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12542FB">
      <w:pPr>
        <w:spacing w:line="560" w:lineRule="exact"/>
        <w:jc w:val="center"/>
        <w:textAlignment w:val="top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项目内容及需求</w:t>
      </w:r>
    </w:p>
    <w:p w14:paraId="5965D1F4">
      <w:pPr>
        <w:spacing w:line="560" w:lineRule="exact"/>
        <w:jc w:val="left"/>
        <w:textAlignment w:val="top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DB96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项目基本情况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2FA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江门市五邑中医院中央空调采购项目。</w:t>
      </w:r>
    </w:p>
    <w:p w14:paraId="2955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（二）项目概述</w:t>
      </w:r>
    </w:p>
    <w:p w14:paraId="22A3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仿宋" w:hAnsi="仿宋" w:eastAsia="仿宋" w:cs="仿宋"/>
          <w:color w:val="1616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161616"/>
          <w:sz w:val="32"/>
          <w:szCs w:val="32"/>
          <w:lang w:val="en-US" w:eastAsia="zh-CN"/>
        </w:rPr>
        <w:t>1.急诊科及医学影像科位于医院门诊楼1楼，紧邻2号楼，周边分布门诊候诊大厅、收费窗口、一站式服务台等人员密集的区域。该楼始建于1996年，为7层钢筋混凝土框架结构，其中需做中央空调改造区域的空调面积为1223㎡。现规划该区域的空调需要冬季供暖，夏季制冷，满足全年使用率为95%的水冷空调。</w:t>
      </w:r>
    </w:p>
    <w:p w14:paraId="5F9D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2.当前计划用途布局：详见附表</w:t>
      </w:r>
    </w:p>
    <w:p w14:paraId="505BC519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3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995"/>
        <w:gridCol w:w="1185"/>
        <w:gridCol w:w="1065"/>
        <w:gridCol w:w="900"/>
        <w:gridCol w:w="2250"/>
        <w:gridCol w:w="1080"/>
        <w:gridCol w:w="1080"/>
      </w:tblGrid>
      <w:tr w14:paraId="2D5B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层高m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面积m2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层高m</w:t>
            </w:r>
          </w:p>
        </w:tc>
      </w:tr>
      <w:tr w14:paraId="47CB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4号室DR机房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FE3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E0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护士站、急诊抢救室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5E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5A2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留观室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46C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D0B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诊室5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值班室1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C24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诊室4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值班室2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69A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诊室3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2号室MRI机房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9A9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诊室2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MRI设备间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A6D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诊室1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MR检查室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F00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大伤清洗室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1号室DR机床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9EB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B7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走廊大堂、分诊台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71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DR操作间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0FB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F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护士站候诊区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BD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5BA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综合复苏单元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F04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清创缝合室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622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A7B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4ED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5号室机房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282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值班室2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1C4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4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AF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值班室1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08F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2F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1E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FAC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更衣室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5DC83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FCC5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3.旧设备拆除：急诊科及设备科共有13台天花机、16台挂机及5台立式空调需进行主机及空调机的拆除和堆放，堆放地点离拆除点直线距离约500米，旧设备的处置由院方自行处理。</w:t>
      </w:r>
    </w:p>
    <w:p w14:paraId="15527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top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项目要求：根据医院要求，对急诊科及放射科安装水冷中央空调系统，满足所有业务用房的制冷需求，并将部分原有旧空调拆除堆放至指定位置，并考虑中央空调系统安装所需的电力工程，预计需增加一条50mm²的电缆敷设，电缆起点为门诊楼5楼电箱（约100m）。</w:t>
      </w:r>
    </w:p>
    <w:p w14:paraId="0E3A5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（三）报价</w:t>
      </w:r>
      <w:r>
        <w:rPr>
          <w:rFonts w:hint="eastAsia" w:ascii="仿宋" w:hAnsi="仿宋" w:eastAsia="仿宋" w:cs="仿宋"/>
          <w:sz w:val="32"/>
          <w:szCs w:val="32"/>
        </w:rPr>
        <w:t>：本次招标的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市场调研</w:t>
      </w:r>
      <w:r>
        <w:rPr>
          <w:rFonts w:hint="eastAsia" w:ascii="仿宋" w:hAnsi="仿宋" w:eastAsia="仿宋" w:cs="仿宋"/>
          <w:sz w:val="32"/>
          <w:szCs w:val="32"/>
        </w:rPr>
        <w:t>报价应为人民币含税全包价，包含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但不限于：</w:t>
      </w:r>
    </w:p>
    <w:p w14:paraId="3C7FE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急诊科及放射科中央空调的采购及安装、旧设备的拆卸及搬运；</w:t>
      </w:r>
    </w:p>
    <w:p w14:paraId="18459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2.项目涉及的安装费、管理费、服务费等实施本项目的一切费用，</w:t>
      </w:r>
    </w:p>
    <w:p w14:paraId="65ACC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（四）采购及安装服务期：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60个日历日，需配合医学影像科工作安排及急诊改造施工时间。</w:t>
      </w:r>
    </w:p>
    <w:p w14:paraId="6EE7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二、服务内容及要求</w:t>
      </w:r>
    </w:p>
    <w:p w14:paraId="70937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1.需按医院要求对原有位置的旧空调设备进行拆除或迁移，部分旧设备须搬运至院方指定位置堆放。</w:t>
      </w:r>
    </w:p>
    <w:p w14:paraId="34603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2.需按医院要求对指定地点进行中央空调的采购安装，新装空调的制冷量需满足科室需求。</w:t>
      </w:r>
    </w:p>
    <w:p w14:paraId="243C0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3.供应商需出具完整的中央空调改造实施方案，及后续维保方案。</w:t>
      </w:r>
    </w:p>
    <w:p w14:paraId="26920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BA0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C18D3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3E1D11D">
      <w:pPr>
        <w:spacing w:line="560" w:lineRule="exact"/>
        <w:textAlignment w:val="top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AD66B09">
      <w:pPr>
        <w:spacing w:line="560" w:lineRule="exact"/>
        <w:jc w:val="center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市场</w:t>
      </w:r>
      <w:r>
        <w:rPr>
          <w:rFonts w:hint="eastAsia" w:ascii="黑体" w:hAnsi="黑体" w:eastAsia="黑体" w:cs="黑体"/>
          <w:sz w:val="44"/>
          <w:szCs w:val="44"/>
        </w:rPr>
        <w:t>调研报价表</w:t>
      </w:r>
    </w:p>
    <w:p w14:paraId="5459B8DA">
      <w:pPr>
        <w:spacing w:after="0" w:line="500" w:lineRule="exact"/>
        <w:ind w:left="1959" w:leftChars="266" w:hanging="1400" w:hangingChars="500"/>
        <w:jc w:val="left"/>
        <w:textAlignment w:val="top"/>
        <w:rPr>
          <w:rFonts w:hint="eastAsia" w:ascii="仿宋" w:hAnsi="仿宋" w:eastAsia="仿宋" w:cs="仿宋"/>
          <w:color w:val="16161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161616"/>
          <w:sz w:val="28"/>
          <w:szCs w:val="28"/>
          <w:lang w:val="en-US" w:eastAsia="zh-CN"/>
        </w:rPr>
        <w:t>江门市五邑中医院中央空调采购项目</w:t>
      </w:r>
    </w:p>
    <w:p w14:paraId="5053D198">
      <w:pPr>
        <w:spacing w:after="0" w:line="500" w:lineRule="exact"/>
        <w:ind w:firstLine="560" w:firstLineChars="20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</w:t>
      </w:r>
    </w:p>
    <w:p w14:paraId="443B8835">
      <w:pPr>
        <w:spacing w:after="0" w:line="500" w:lineRule="exact"/>
        <w:ind w:firstLine="560" w:firstLineChars="20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根据采购人的项目需求，报价表如下：</w:t>
      </w:r>
    </w:p>
    <w:tbl>
      <w:tblPr>
        <w:tblStyle w:val="3"/>
        <w:tblW w:w="10536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250"/>
        <w:gridCol w:w="2070"/>
        <w:gridCol w:w="5271"/>
      </w:tblGrid>
      <w:tr w14:paraId="7D856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5541D32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07F6BDF2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采购项目名称/采购包名称</w:t>
            </w:r>
          </w:p>
        </w:tc>
        <w:tc>
          <w:tcPr>
            <w:tcW w:w="2070" w:type="dxa"/>
            <w:noWrap w:val="0"/>
            <w:vAlign w:val="center"/>
          </w:tcPr>
          <w:p w14:paraId="3E7AAA46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投标报价</w:t>
            </w:r>
          </w:p>
          <w:p w14:paraId="1618E4C6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元）</w:t>
            </w:r>
          </w:p>
        </w:tc>
        <w:tc>
          <w:tcPr>
            <w:tcW w:w="5271" w:type="dxa"/>
            <w:noWrap w:val="0"/>
            <w:vAlign w:val="center"/>
          </w:tcPr>
          <w:p w14:paraId="0275687F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服务内容</w:t>
            </w:r>
          </w:p>
        </w:tc>
      </w:tr>
      <w:tr w14:paraId="01E4E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DE880F6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6131F80F">
            <w:pPr>
              <w:pStyle w:val="2"/>
              <w:spacing w:after="0"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61616"/>
                <w:sz w:val="28"/>
                <w:szCs w:val="28"/>
                <w:lang w:val="en-US" w:eastAsia="zh-CN"/>
              </w:rPr>
              <w:t>江门市五邑中医院中央空调采购项目</w:t>
            </w:r>
          </w:p>
        </w:tc>
        <w:tc>
          <w:tcPr>
            <w:tcW w:w="2070" w:type="dxa"/>
            <w:noWrap w:val="0"/>
            <w:vAlign w:val="center"/>
          </w:tcPr>
          <w:p w14:paraId="7150A02E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71" w:type="dxa"/>
            <w:noWrap w:val="0"/>
            <w:vAlign w:val="center"/>
          </w:tcPr>
          <w:p w14:paraId="749D9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1.需按医院要求对原有位置的旧空调设备进行拆除或迁移，部分旧设备须搬运至院方指定位置堆放。</w:t>
            </w:r>
          </w:p>
          <w:p w14:paraId="27744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2.需按医院要求对指定地点进行中央空调的采购安装，新装空调的制冷量需满足科室需求。</w:t>
            </w:r>
          </w:p>
          <w:p w14:paraId="02512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3.供应商需出具完整的中央空调改造实施方案，及后续维保方案。</w:t>
            </w:r>
          </w:p>
        </w:tc>
      </w:tr>
    </w:tbl>
    <w:p w14:paraId="2883657E">
      <w:pPr>
        <w:pStyle w:val="2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</w:p>
    <w:p w14:paraId="1B87D374">
      <w:pPr>
        <w:pStyle w:val="2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1.项目报价是为含税全包价，包括但不限于清单所列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明的</w:t>
      </w:r>
      <w:r>
        <w:rPr>
          <w:rFonts w:hint="eastAsia" w:ascii="仿宋" w:hAnsi="仿宋" w:eastAsia="仿宋" w:cs="仿宋"/>
          <w:sz w:val="28"/>
          <w:szCs w:val="28"/>
        </w:rPr>
        <w:t>服务明细、人力成本、运输、装卸、安装调试运行的维护更换、维护服务及相关服务等一切费用、管理酬金、税金等。采购人不额外增加费用。</w:t>
      </w:r>
    </w:p>
    <w:p w14:paraId="013A72FF">
      <w:pPr>
        <w:spacing w:after="0" w:line="500" w:lineRule="exact"/>
        <w:ind w:firstLine="560" w:firstLineChars="200"/>
        <w:jc w:val="both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2.供应商须按要求填写所有信息，不得随意更改本表格式。</w:t>
      </w:r>
    </w:p>
    <w:p w14:paraId="08A49DB3">
      <w:pPr>
        <w:spacing w:after="0" w:line="500" w:lineRule="exact"/>
        <w:ind w:firstLine="560" w:firstLineChars="200"/>
        <w:jc w:val="both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3.供应商报价以经加盖公章后调研报价表为准。</w:t>
      </w:r>
    </w:p>
    <w:p w14:paraId="143888FD">
      <w:pPr>
        <w:spacing w:line="560" w:lineRule="exact"/>
        <w:jc w:val="center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</w:p>
    <w:p w14:paraId="2875EFB5">
      <w:pPr>
        <w:spacing w:line="560" w:lineRule="exact"/>
        <w:jc w:val="center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供应商名称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加盖公章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:</w:t>
      </w:r>
    </w:p>
    <w:p w14:paraId="1513B37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年   月   日</w:t>
      </w:r>
    </w:p>
    <w:p w14:paraId="23BEE473">
      <w:pPr>
        <w:bidi w:val="0"/>
        <w:rPr>
          <w:rFonts w:hint="eastAsia"/>
          <w:lang w:val="en-US" w:eastAsia="zh-CN"/>
        </w:rPr>
      </w:pPr>
    </w:p>
    <w:p w14:paraId="56C1264D">
      <w:pPr>
        <w:spacing w:line="560" w:lineRule="exact"/>
        <w:textAlignment w:val="top"/>
        <w:rPr>
          <w:rFonts w:hint="eastAsia" w:ascii="黑体" w:hAnsi="黑体" w:eastAsia="黑体" w:cs="黑体"/>
          <w:sz w:val="32"/>
          <w:szCs w:val="32"/>
        </w:rPr>
      </w:pPr>
    </w:p>
    <w:p w14:paraId="236D9098">
      <w:pPr>
        <w:spacing w:line="560" w:lineRule="exac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C7597BC">
      <w:pPr>
        <w:spacing w:line="560" w:lineRule="exact"/>
        <w:jc w:val="center"/>
        <w:textAlignment w:val="top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江门市五邑中医院货物类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采购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项目</w:t>
      </w:r>
    </w:p>
    <w:p w14:paraId="1F809F3B">
      <w:pPr>
        <w:spacing w:line="560" w:lineRule="exact"/>
        <w:jc w:val="center"/>
        <w:textAlignment w:val="top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市场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调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研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表</w:t>
      </w:r>
    </w:p>
    <w:p w14:paraId="48C6FD61">
      <w:pPr>
        <w:spacing w:line="560" w:lineRule="exact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一、基本信息及行业信息：</w:t>
      </w:r>
    </w:p>
    <w:tbl>
      <w:tblPr>
        <w:tblStyle w:val="3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208"/>
        <w:gridCol w:w="1453"/>
        <w:gridCol w:w="2299"/>
      </w:tblGrid>
      <w:tr w14:paraId="4FA93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CA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公司名称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036C">
            <w:pPr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B1C3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DA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公司性质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9CE5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国有企业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私营企业</w:t>
            </w:r>
          </w:p>
          <w:p w14:paraId="663D5679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股份制企业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其他：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  <w:t xml:space="preserve">        </w:t>
            </w:r>
          </w:p>
        </w:tc>
      </w:tr>
      <w:tr w14:paraId="1DFF5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87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A368">
            <w:pPr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AA79">
            <w:pPr>
              <w:ind w:left="36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CEC6">
            <w:pPr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1670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03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C091">
            <w:pPr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876C">
            <w:pPr>
              <w:ind w:left="36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6DEF">
            <w:pPr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8495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FB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企业类型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DF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大型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中型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小型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微型</w:t>
            </w:r>
          </w:p>
        </w:tc>
      </w:tr>
      <w:tr w14:paraId="2D2F1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1E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是否有意向参与本项目投标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F9A5">
            <w:pPr>
              <w:ind w:left="1400" w:leftChars="0" w:hanging="1400" w:hangingChars="5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项目名称：</w:t>
            </w:r>
            <w:r>
              <w:rPr>
                <w:rFonts w:hint="eastAsia" w:ascii="仿宋" w:hAnsi="仿宋" w:eastAsia="仿宋" w:cs="仿宋"/>
                <w:color w:val="161616"/>
                <w:sz w:val="28"/>
                <w:szCs w:val="28"/>
                <w:lang w:val="en-US" w:eastAsia="zh-CN"/>
              </w:rPr>
              <w:t>江门市五邑中医院中央空调采购项目</w:t>
            </w:r>
          </w:p>
          <w:p w14:paraId="6FC78A2E">
            <w:pPr>
              <w:ind w:left="420" w:hanging="420" w:hangingChars="15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参与意向：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是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否</w:t>
            </w:r>
          </w:p>
        </w:tc>
      </w:tr>
    </w:tbl>
    <w:p w14:paraId="3AB73CFE">
      <w:pPr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二、问卷邀请函</w:t>
      </w:r>
    </w:p>
    <w:p w14:paraId="12B391CB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致：江门市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五邑中医院</w:t>
      </w:r>
    </w:p>
    <w:p w14:paraId="5A1416E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我公司已认真阅读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充分知悉并了解了贵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针对本次采购需求调查内容，我方针对本次调查的建议或者意见都已在本记录中进行了反映。</w:t>
      </w:r>
    </w:p>
    <w:p w14:paraId="76D2EC7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我方同意贵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无偿采用我方提交的采购需求调查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全部或部分内容作为贵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采购需求的内容，并无需承担任何责任。</w:t>
      </w:r>
    </w:p>
    <w:p w14:paraId="159F0F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本公司将严格遵守上述事项，并对其真实性负责。</w:t>
      </w:r>
    </w:p>
    <w:p w14:paraId="6CF9858E">
      <w:pPr>
        <w:spacing w:line="360" w:lineRule="auto"/>
        <w:ind w:left="2520" w:firstLine="420"/>
        <w:jc w:val="righ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 xml:space="preserve">单位名称（盖公章）：          </w:t>
      </w:r>
    </w:p>
    <w:p w14:paraId="1889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0" w:firstLineChars="1000"/>
        <w:jc w:val="right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年  月  日</w:t>
      </w:r>
    </w:p>
    <w:p w14:paraId="7985AC78">
      <w:pPr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三、调查内容</w:t>
      </w:r>
    </w:p>
    <w:p w14:paraId="2C369A8D">
      <w:pPr>
        <w:widowControl/>
        <w:spacing w:line="360" w:lineRule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（一）相关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  <w:t>行业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发展</w:t>
      </w:r>
    </w:p>
    <w:p w14:paraId="332705FC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行业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路线、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水平、技术水平或行业的发展历程、行业现状等：</w:t>
      </w:r>
    </w:p>
    <w:p w14:paraId="3C70CB67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E9E1B02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7910BEC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2.可能涉及的企业资质、产品资质、人员资质：</w:t>
      </w:r>
    </w:p>
    <w:p w14:paraId="5D85D719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BB3132C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776D606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3.涉及的相关标准和规范：</w:t>
      </w:r>
    </w:p>
    <w:p w14:paraId="4475736A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30875E0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2961433">
      <w:pPr>
        <w:widowControl/>
        <w:spacing w:line="360" w:lineRule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（二）市场供给</w:t>
      </w:r>
    </w:p>
    <w:p w14:paraId="0531AC34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1.市场竞争程度：</w:t>
      </w:r>
    </w:p>
    <w:p w14:paraId="1CCAF50F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ED740E3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9F1D748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02DA30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2.价格水平或价格构成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可参照附件2再补充其他信息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 w14:paraId="7773FCB9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60F3D50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94B4492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3.潜在供应商的履约能力、售后服务能力：</w:t>
      </w:r>
    </w:p>
    <w:p w14:paraId="23B368D8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3D8F537">
      <w:pPr>
        <w:widowControl/>
        <w:spacing w:line="360" w:lineRule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（三）同类采购项目历史成交信息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  <w:t>可自行添加表格行数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50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33"/>
        <w:gridCol w:w="1526"/>
        <w:gridCol w:w="1491"/>
        <w:gridCol w:w="1128"/>
        <w:gridCol w:w="1246"/>
        <w:gridCol w:w="1246"/>
        <w:gridCol w:w="1246"/>
      </w:tblGrid>
      <w:tr w14:paraId="72DE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55" w:type="pct"/>
            <w:noWrap w:val="0"/>
            <w:vAlign w:val="center"/>
          </w:tcPr>
          <w:p w14:paraId="015C51B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" w:type="pct"/>
            <w:noWrap w:val="0"/>
            <w:vAlign w:val="center"/>
          </w:tcPr>
          <w:p w14:paraId="42F5747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752" w:type="pct"/>
            <w:noWrap w:val="0"/>
            <w:vAlign w:val="center"/>
          </w:tcPr>
          <w:p w14:paraId="0F74B26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5" w:type="pct"/>
            <w:noWrap w:val="0"/>
            <w:vAlign w:val="center"/>
          </w:tcPr>
          <w:p w14:paraId="213BCAC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项目预算</w:t>
            </w:r>
          </w:p>
        </w:tc>
        <w:tc>
          <w:tcPr>
            <w:tcW w:w="556" w:type="pct"/>
            <w:noWrap w:val="0"/>
            <w:vAlign w:val="center"/>
          </w:tcPr>
          <w:p w14:paraId="2D033C9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中标人</w:t>
            </w:r>
          </w:p>
        </w:tc>
        <w:tc>
          <w:tcPr>
            <w:tcW w:w="614" w:type="pct"/>
            <w:noWrap w:val="0"/>
            <w:vAlign w:val="center"/>
          </w:tcPr>
          <w:p w14:paraId="356AF22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中标价</w:t>
            </w:r>
          </w:p>
        </w:tc>
        <w:tc>
          <w:tcPr>
            <w:tcW w:w="614" w:type="pct"/>
            <w:noWrap w:val="0"/>
            <w:vAlign w:val="center"/>
          </w:tcPr>
          <w:p w14:paraId="12446F7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合同期</w:t>
            </w:r>
          </w:p>
        </w:tc>
        <w:tc>
          <w:tcPr>
            <w:tcW w:w="614" w:type="pct"/>
            <w:noWrap w:val="0"/>
            <w:vAlign w:val="center"/>
          </w:tcPr>
          <w:p w14:paraId="268BD90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78E5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55" w:type="pct"/>
            <w:noWrap w:val="0"/>
            <w:vAlign w:val="center"/>
          </w:tcPr>
          <w:p w14:paraId="413A37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7B95F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52" w:type="pct"/>
            <w:noWrap w:val="0"/>
            <w:vAlign w:val="center"/>
          </w:tcPr>
          <w:p w14:paraId="0DB33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AD816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56" w:type="pct"/>
            <w:noWrap w:val="0"/>
            <w:vAlign w:val="center"/>
          </w:tcPr>
          <w:p w14:paraId="4F9BC5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145584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6FA89C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B71ED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ECC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55" w:type="pct"/>
            <w:noWrap w:val="0"/>
            <w:vAlign w:val="center"/>
          </w:tcPr>
          <w:p w14:paraId="4A6973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57" w:type="pct"/>
            <w:noWrap w:val="0"/>
            <w:vAlign w:val="center"/>
          </w:tcPr>
          <w:p w14:paraId="6D3E07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52" w:type="pct"/>
            <w:noWrap w:val="0"/>
            <w:vAlign w:val="center"/>
          </w:tcPr>
          <w:p w14:paraId="3D190A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577B9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56" w:type="pct"/>
            <w:noWrap w:val="0"/>
            <w:vAlign w:val="center"/>
          </w:tcPr>
          <w:p w14:paraId="6284B3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307C9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766F31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633026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44A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55" w:type="pct"/>
            <w:noWrap w:val="0"/>
            <w:vAlign w:val="center"/>
          </w:tcPr>
          <w:p w14:paraId="241FCD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19141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52" w:type="pct"/>
            <w:noWrap w:val="0"/>
            <w:vAlign w:val="center"/>
          </w:tcPr>
          <w:p w14:paraId="7EC21F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19CFA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56" w:type="pct"/>
            <w:noWrap w:val="0"/>
            <w:vAlign w:val="center"/>
          </w:tcPr>
          <w:p w14:paraId="5D5692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6008E3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6211F8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14" w:type="pct"/>
            <w:noWrap w:val="0"/>
            <w:vAlign w:val="center"/>
          </w:tcPr>
          <w:p w14:paraId="3D37AE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5DA0B286">
      <w:pPr>
        <w:widowControl/>
        <w:spacing w:line="360" w:lineRule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（四）后续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采购情况</w:t>
      </w:r>
    </w:p>
    <w:p w14:paraId="7C2C7685">
      <w:pPr>
        <w:rPr>
          <w:rFonts w:hint="eastAsia" w:ascii="仿宋" w:hAnsi="仿宋" w:eastAsia="仿宋" w:cs="仿宋"/>
          <w:color w:val="191919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1.可能涉及的</w:t>
      </w:r>
      <w:r>
        <w:rPr>
          <w:rFonts w:hint="eastAsia" w:ascii="仿宋" w:hAnsi="仿宋" w:eastAsia="仿宋" w:cs="仿宋"/>
          <w:color w:val="191919"/>
          <w:sz w:val="28"/>
          <w:szCs w:val="28"/>
          <w:highlight w:val="none"/>
          <w:lang w:val="en-US" w:eastAsia="zh-CN"/>
        </w:rPr>
        <w:t>工具</w:t>
      </w:r>
      <w:r>
        <w:rPr>
          <w:rFonts w:hint="eastAsia" w:ascii="仿宋" w:hAnsi="仿宋" w:eastAsia="仿宋" w:cs="仿宋"/>
          <w:color w:val="191919"/>
          <w:sz w:val="28"/>
          <w:szCs w:val="28"/>
          <w:highlight w:val="none"/>
        </w:rPr>
        <w:t>、备品备件、耗材</w:t>
      </w:r>
      <w:r>
        <w:rPr>
          <w:rFonts w:hint="eastAsia" w:ascii="仿宋" w:hAnsi="仿宋" w:eastAsia="仿宋" w:cs="仿宋"/>
          <w:color w:val="191919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191919"/>
          <w:sz w:val="28"/>
          <w:szCs w:val="28"/>
          <w:highlight w:val="none"/>
          <w:lang w:val="en-US" w:eastAsia="zh-CN"/>
        </w:rPr>
        <w:t>车辆</w:t>
      </w:r>
      <w:r>
        <w:rPr>
          <w:rFonts w:hint="eastAsia" w:ascii="仿宋" w:hAnsi="仿宋" w:eastAsia="仿宋" w:cs="仿宋"/>
          <w:color w:val="191919"/>
          <w:sz w:val="28"/>
          <w:szCs w:val="28"/>
          <w:highlight w:val="none"/>
        </w:rPr>
        <w:t>等情况：</w:t>
      </w:r>
    </w:p>
    <w:p w14:paraId="4EAFD431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6119E96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DD96A5C"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（五）影响供应商报价和项目实施风险的因素</w:t>
      </w:r>
    </w:p>
    <w:p w14:paraId="63166628"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</w:pPr>
    </w:p>
    <w:p w14:paraId="4061FA32"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</w:pPr>
    </w:p>
    <w:p w14:paraId="1BB5CF87">
      <w:pPr>
        <w:widowControl/>
        <w:spacing w:line="360" w:lineRule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</w:rPr>
        <w:t>（六）供应商认为需要提供的其他说明</w:t>
      </w:r>
    </w:p>
    <w:p w14:paraId="3DBB84C0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465E92A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FF90DA3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A401F06">
      <w:pPr>
        <w:spacing w:line="360" w:lineRule="auto"/>
        <w:ind w:left="2520" w:firstLine="420"/>
        <w:jc w:val="righ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 xml:space="preserve">单位名称（盖公章）：          </w:t>
      </w:r>
    </w:p>
    <w:p w14:paraId="6ECDCE82">
      <w:pPr>
        <w:spacing w:line="360" w:lineRule="auto"/>
        <w:ind w:left="2520" w:firstLine="42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年  月  日</w:t>
      </w:r>
    </w:p>
    <w:p w14:paraId="5A6A3077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299F"/>
    <w:rsid w:val="0AB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2026-04-30T03:55:00Z</dcterms:created>
  <dc:creator>樱姑</dc:creator>
  <cp:lastModifiedBy>樱姑</cp:lastModifiedBy>
  <dcterms:modified xsi:type="dcterms:W3CDTF">2026-04-30T03:56:34Z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977BD178B56D46B683E92B4470F0D10B_11</vt:lpwstr>
  </property>
  <property fmtid="{D5CDD505-2E9C-101B-9397-08002B2CF9AE}" pid="4" name="KSOTemplateDocerSaveRecord">
    <vt:lpwstr>eyJoZGlkIjoiMzM0ZGZhZDRiOTZkZmYyMTgyNDkyMmI0NmI0NDc2NDciLCJ1c2VySWQiOiI1OTY2MzI1NzQifQ==</vt:lpwstr>
  </property>
</Properties>
</file>