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93BE7">
      <w:pPr>
        <w:jc w:val="center"/>
        <w:rPr>
          <w:rFonts w:hint="eastAsia"/>
          <w:b/>
          <w:bCs/>
          <w:sz w:val="36"/>
          <w:szCs w:val="44"/>
        </w:rPr>
      </w:pPr>
      <w:r>
        <w:rPr>
          <w:rFonts w:hint="eastAsia"/>
          <w:b/>
          <w:bCs/>
          <w:sz w:val="36"/>
          <w:szCs w:val="44"/>
          <w:lang w:eastAsia="zh-CN"/>
        </w:rPr>
        <w:t>净化区域维保服务</w:t>
      </w:r>
      <w:r>
        <w:rPr>
          <w:rFonts w:hint="eastAsia"/>
          <w:b/>
          <w:bCs/>
          <w:sz w:val="36"/>
          <w:szCs w:val="44"/>
        </w:rPr>
        <w:t>方案推荐书目录</w:t>
      </w:r>
    </w:p>
    <w:p w14:paraId="0CF1D104">
      <w:pPr>
        <w:jc w:val="center"/>
        <w:rPr>
          <w:rFonts w:hint="eastAsia"/>
          <w:b/>
          <w:bCs/>
          <w:sz w:val="36"/>
          <w:szCs w:val="44"/>
        </w:rPr>
      </w:pPr>
    </w:p>
    <w:p w14:paraId="3505932A">
      <w:pPr>
        <w:numPr>
          <w:ilvl w:val="0"/>
          <w:numId w:val="1"/>
        </w:numPr>
        <w:jc w:val="left"/>
        <w:rPr>
          <w:rFonts w:hint="eastAsia"/>
          <w:b/>
          <w:bCs/>
          <w:sz w:val="28"/>
          <w:szCs w:val="36"/>
          <w:lang w:eastAsia="zh-CN"/>
        </w:rPr>
      </w:pPr>
      <w:r>
        <w:rPr>
          <w:rFonts w:hint="eastAsia"/>
          <w:b/>
          <w:bCs/>
          <w:sz w:val="28"/>
          <w:szCs w:val="36"/>
          <w:lang w:eastAsia="zh-CN"/>
        </w:rPr>
        <w:t>维保报价</w:t>
      </w:r>
    </w:p>
    <w:p w14:paraId="2622CC4C">
      <w:pPr>
        <w:numPr>
          <w:ilvl w:val="0"/>
          <w:numId w:val="1"/>
        </w:numPr>
        <w:jc w:val="left"/>
        <w:rPr>
          <w:rFonts w:hint="eastAsia"/>
          <w:b/>
          <w:bCs/>
          <w:sz w:val="28"/>
          <w:szCs w:val="36"/>
          <w:lang w:eastAsia="zh-CN"/>
        </w:rPr>
      </w:pPr>
      <w:r>
        <w:rPr>
          <w:rFonts w:hint="eastAsia"/>
          <w:b/>
          <w:bCs/>
          <w:sz w:val="28"/>
          <w:szCs w:val="36"/>
          <w:lang w:eastAsia="zh-CN"/>
        </w:rPr>
        <w:t>具体维保方案</w:t>
      </w:r>
    </w:p>
    <w:p w14:paraId="6ACF6068">
      <w:pPr>
        <w:numPr>
          <w:ilvl w:val="0"/>
          <w:numId w:val="1"/>
        </w:numPr>
        <w:jc w:val="left"/>
        <w:rPr>
          <w:rFonts w:hint="eastAsia"/>
          <w:b/>
          <w:bCs/>
          <w:sz w:val="28"/>
          <w:szCs w:val="36"/>
          <w:lang w:eastAsia="zh-CN"/>
        </w:rPr>
      </w:pPr>
      <w:r>
        <w:rPr>
          <w:rFonts w:hint="eastAsia"/>
          <w:b/>
          <w:bCs/>
          <w:sz w:val="28"/>
          <w:szCs w:val="36"/>
          <w:lang w:eastAsia="zh-CN"/>
        </w:rPr>
        <w:t>公司情况介绍</w:t>
      </w:r>
    </w:p>
    <w:p w14:paraId="1EB7B6C9">
      <w:pPr>
        <w:numPr>
          <w:ilvl w:val="0"/>
          <w:numId w:val="2"/>
        </w:numPr>
        <w:jc w:val="left"/>
        <w:rPr>
          <w:rFonts w:hint="eastAsia"/>
          <w:b/>
          <w:bCs/>
          <w:sz w:val="28"/>
          <w:szCs w:val="36"/>
          <w:lang w:val="en-US" w:eastAsia="zh-CN"/>
        </w:rPr>
      </w:pPr>
      <w:r>
        <w:rPr>
          <w:rFonts w:hint="eastAsia"/>
          <w:b/>
          <w:bCs/>
          <w:sz w:val="28"/>
          <w:szCs w:val="36"/>
          <w:lang w:val="en-US" w:eastAsia="zh-CN"/>
        </w:rPr>
        <w:t>公司情况说明</w:t>
      </w:r>
    </w:p>
    <w:p w14:paraId="5AA88C57">
      <w:pPr>
        <w:numPr>
          <w:ilvl w:val="0"/>
          <w:numId w:val="2"/>
        </w:numPr>
        <w:jc w:val="left"/>
        <w:rPr>
          <w:rFonts w:hint="eastAsia"/>
          <w:b/>
          <w:bCs/>
          <w:sz w:val="28"/>
          <w:szCs w:val="36"/>
          <w:lang w:val="en-US" w:eastAsia="zh-CN"/>
        </w:rPr>
      </w:pPr>
      <w:r>
        <w:rPr>
          <w:rFonts w:hint="eastAsia"/>
          <w:b/>
          <w:bCs/>
          <w:sz w:val="28"/>
          <w:szCs w:val="36"/>
          <w:lang w:val="en-US" w:eastAsia="zh-CN"/>
        </w:rPr>
        <w:t>公司2025年财务状况</w:t>
      </w:r>
    </w:p>
    <w:p w14:paraId="7958E594">
      <w:pPr>
        <w:numPr>
          <w:ilvl w:val="0"/>
          <w:numId w:val="2"/>
        </w:numPr>
        <w:jc w:val="left"/>
        <w:rPr>
          <w:rFonts w:hint="eastAsia"/>
          <w:b/>
          <w:bCs/>
          <w:sz w:val="28"/>
          <w:szCs w:val="36"/>
          <w:lang w:val="en-US" w:eastAsia="zh-CN"/>
        </w:rPr>
      </w:pPr>
      <w:r>
        <w:rPr>
          <w:rFonts w:hint="eastAsia"/>
          <w:b/>
          <w:bCs/>
          <w:sz w:val="28"/>
          <w:szCs w:val="36"/>
          <w:lang w:val="en-US" w:eastAsia="zh-CN"/>
        </w:rPr>
        <w:t>配件仓库说明（附图片）</w:t>
      </w:r>
    </w:p>
    <w:p w14:paraId="54E8524C">
      <w:pPr>
        <w:numPr>
          <w:ilvl w:val="0"/>
          <w:numId w:val="2"/>
        </w:numPr>
        <w:jc w:val="left"/>
        <w:rPr>
          <w:rFonts w:hint="eastAsia"/>
          <w:b/>
          <w:bCs/>
          <w:sz w:val="28"/>
          <w:szCs w:val="36"/>
          <w:lang w:val="en-US" w:eastAsia="zh-CN"/>
        </w:rPr>
      </w:pPr>
      <w:r>
        <w:rPr>
          <w:rFonts w:hint="eastAsia"/>
          <w:b/>
          <w:bCs/>
          <w:sz w:val="28"/>
          <w:szCs w:val="36"/>
          <w:lang w:val="en-US" w:eastAsia="zh-CN"/>
        </w:rPr>
        <w:t>专项维修检测设备说明（附图片）</w:t>
      </w:r>
    </w:p>
    <w:p w14:paraId="04ABCFA8">
      <w:pPr>
        <w:numPr>
          <w:ilvl w:val="0"/>
          <w:numId w:val="1"/>
        </w:numPr>
        <w:ind w:left="0" w:leftChars="0" w:firstLine="0" w:firstLineChars="0"/>
        <w:jc w:val="left"/>
        <w:rPr>
          <w:rFonts w:hint="eastAsia"/>
          <w:b/>
          <w:bCs/>
          <w:sz w:val="28"/>
          <w:szCs w:val="36"/>
          <w:lang w:val="en-US" w:eastAsia="zh-CN"/>
        </w:rPr>
      </w:pPr>
      <w:r>
        <w:rPr>
          <w:rFonts w:hint="eastAsia"/>
          <w:b/>
          <w:bCs/>
          <w:sz w:val="28"/>
          <w:szCs w:val="36"/>
          <w:lang w:val="en-US" w:eastAsia="zh-CN"/>
        </w:rPr>
        <w:t>资格证明材料</w:t>
      </w:r>
    </w:p>
    <w:p w14:paraId="31E8AE11">
      <w:pPr>
        <w:numPr>
          <w:ilvl w:val="0"/>
          <w:numId w:val="3"/>
        </w:numPr>
        <w:ind w:leftChars="0"/>
        <w:jc w:val="left"/>
        <w:rPr>
          <w:rFonts w:hint="eastAsia"/>
          <w:b/>
          <w:bCs/>
          <w:sz w:val="28"/>
          <w:szCs w:val="36"/>
          <w:lang w:val="en-US" w:eastAsia="zh-CN"/>
        </w:rPr>
      </w:pPr>
      <w:r>
        <w:rPr>
          <w:rFonts w:hint="eastAsia"/>
          <w:b/>
          <w:bCs/>
          <w:sz w:val="28"/>
          <w:szCs w:val="36"/>
          <w:lang w:val="en-US" w:eastAsia="zh-CN"/>
        </w:rPr>
        <w:t>公司三证</w:t>
      </w:r>
    </w:p>
    <w:p w14:paraId="1C2DADC8">
      <w:pPr>
        <w:numPr>
          <w:ilvl w:val="0"/>
          <w:numId w:val="3"/>
        </w:numPr>
        <w:ind w:leftChars="0"/>
        <w:jc w:val="left"/>
        <w:rPr>
          <w:rFonts w:hint="eastAsia"/>
          <w:b/>
          <w:bCs/>
          <w:sz w:val="28"/>
          <w:szCs w:val="36"/>
          <w:lang w:val="en-US" w:eastAsia="zh-CN"/>
        </w:rPr>
      </w:pPr>
      <w:r>
        <w:rPr>
          <w:rFonts w:hint="eastAsia"/>
          <w:b/>
          <w:bCs/>
          <w:sz w:val="28"/>
          <w:szCs w:val="36"/>
          <w:lang w:val="en-US" w:eastAsia="zh-CN"/>
        </w:rPr>
        <w:t>企业认证证明</w:t>
      </w:r>
    </w:p>
    <w:p w14:paraId="081F70BC">
      <w:pPr>
        <w:numPr>
          <w:ilvl w:val="0"/>
          <w:numId w:val="3"/>
        </w:numPr>
        <w:ind w:leftChars="0"/>
        <w:jc w:val="left"/>
        <w:rPr>
          <w:rFonts w:hint="eastAsia"/>
          <w:b/>
          <w:bCs/>
          <w:sz w:val="28"/>
          <w:szCs w:val="36"/>
          <w:lang w:val="en-US" w:eastAsia="zh-CN"/>
        </w:rPr>
      </w:pPr>
      <w:r>
        <w:rPr>
          <w:rFonts w:hint="eastAsia"/>
          <w:b/>
          <w:bCs/>
          <w:sz w:val="28"/>
          <w:szCs w:val="36"/>
          <w:lang w:val="en-US" w:eastAsia="zh-CN"/>
        </w:rPr>
        <w:t>维修人员配置情况（包含维修人员培训证、资格证）</w:t>
      </w:r>
    </w:p>
    <w:p w14:paraId="35F89889">
      <w:pPr>
        <w:numPr>
          <w:ilvl w:val="0"/>
          <w:numId w:val="3"/>
        </w:numPr>
        <w:ind w:leftChars="0"/>
        <w:jc w:val="left"/>
        <w:rPr>
          <w:rFonts w:hint="eastAsia"/>
          <w:b/>
          <w:bCs/>
          <w:sz w:val="28"/>
          <w:szCs w:val="36"/>
          <w:lang w:val="en-US" w:eastAsia="zh-CN"/>
        </w:rPr>
      </w:pPr>
      <w:r>
        <w:rPr>
          <w:rFonts w:hint="eastAsia"/>
          <w:b/>
          <w:bCs/>
          <w:sz w:val="28"/>
          <w:szCs w:val="36"/>
          <w:lang w:val="en-US" w:eastAsia="zh-CN"/>
        </w:rPr>
        <w:t>法人代表及授权委托书</w:t>
      </w:r>
    </w:p>
    <w:p w14:paraId="5C972B46">
      <w:pPr>
        <w:numPr>
          <w:ilvl w:val="0"/>
          <w:numId w:val="1"/>
        </w:numPr>
        <w:ind w:left="0" w:leftChars="0" w:firstLine="0" w:firstLineChars="0"/>
        <w:jc w:val="left"/>
        <w:rPr>
          <w:rFonts w:hint="eastAsia"/>
          <w:b/>
          <w:bCs/>
          <w:sz w:val="28"/>
          <w:szCs w:val="36"/>
          <w:lang w:val="en-US" w:eastAsia="zh-CN"/>
        </w:rPr>
      </w:pPr>
      <w:r>
        <w:rPr>
          <w:rFonts w:hint="eastAsia"/>
          <w:b/>
          <w:bCs/>
          <w:sz w:val="28"/>
          <w:szCs w:val="36"/>
          <w:lang w:val="en-US" w:eastAsia="zh-CN"/>
        </w:rPr>
        <w:t>同类项目业绩介绍（用户名单及合同至少5份）</w:t>
      </w:r>
    </w:p>
    <w:p w14:paraId="3BC1EDEB">
      <w:pPr>
        <w:numPr>
          <w:ilvl w:val="0"/>
          <w:numId w:val="0"/>
        </w:numPr>
        <w:jc w:val="left"/>
        <w:rPr>
          <w:rFonts w:hint="eastAsia"/>
          <w:b/>
          <w:bCs/>
          <w:sz w:val="28"/>
          <w:szCs w:val="36"/>
          <w:lang w:val="en-US" w:eastAsia="zh-CN"/>
        </w:rPr>
      </w:pPr>
    </w:p>
    <w:p w14:paraId="731E24AD">
      <w:pPr>
        <w:numPr>
          <w:ilvl w:val="0"/>
          <w:numId w:val="0"/>
        </w:numPr>
        <w:jc w:val="left"/>
        <w:rPr>
          <w:rFonts w:hint="eastAsia"/>
          <w:b/>
          <w:bCs/>
          <w:sz w:val="28"/>
          <w:szCs w:val="36"/>
          <w:lang w:val="en-US" w:eastAsia="zh-CN"/>
        </w:rPr>
      </w:pPr>
      <w:r>
        <w:rPr>
          <w:rFonts w:hint="eastAsia"/>
          <w:b/>
          <w:bCs/>
          <w:sz w:val="28"/>
          <w:szCs w:val="36"/>
          <w:lang w:val="en-US" w:eastAsia="zh-CN"/>
        </w:rPr>
        <w:t>注：推荐书每页需加盖公章</w:t>
      </w:r>
    </w:p>
    <w:p w14:paraId="3B672F04">
      <w:pPr>
        <w:numPr>
          <w:ilvl w:val="0"/>
          <w:numId w:val="0"/>
        </w:numPr>
        <w:jc w:val="left"/>
        <w:rPr>
          <w:rFonts w:hint="eastAsia"/>
          <w:b/>
          <w:bCs/>
          <w:sz w:val="28"/>
          <w:szCs w:val="36"/>
          <w:lang w:val="en-US" w:eastAsia="zh-CN"/>
        </w:rPr>
      </w:pPr>
    </w:p>
    <w:p w14:paraId="44B91E72">
      <w:pPr>
        <w:numPr>
          <w:ilvl w:val="0"/>
          <w:numId w:val="0"/>
        </w:numPr>
        <w:jc w:val="left"/>
        <w:rPr>
          <w:rFonts w:hint="eastAsia"/>
          <w:b/>
          <w:bCs/>
          <w:sz w:val="28"/>
          <w:szCs w:val="36"/>
          <w:lang w:val="en-US" w:eastAsia="zh-CN"/>
        </w:rPr>
      </w:pPr>
    </w:p>
    <w:p w14:paraId="455BAE94">
      <w:pPr>
        <w:numPr>
          <w:ilvl w:val="0"/>
          <w:numId w:val="0"/>
        </w:numPr>
        <w:jc w:val="left"/>
        <w:rPr>
          <w:rFonts w:hint="eastAsia"/>
          <w:b/>
          <w:bCs/>
          <w:sz w:val="28"/>
          <w:szCs w:val="36"/>
          <w:lang w:val="en-US" w:eastAsia="zh-CN"/>
        </w:rPr>
      </w:pPr>
    </w:p>
    <w:p w14:paraId="05696683">
      <w:pPr>
        <w:numPr>
          <w:ilvl w:val="0"/>
          <w:numId w:val="0"/>
        </w:numPr>
        <w:jc w:val="left"/>
        <w:rPr>
          <w:rFonts w:hint="eastAsia"/>
          <w:b/>
          <w:bCs/>
          <w:sz w:val="28"/>
          <w:szCs w:val="36"/>
          <w:lang w:val="en-US" w:eastAsia="zh-CN"/>
        </w:rPr>
      </w:pPr>
    </w:p>
    <w:p w14:paraId="4DEEE2C5">
      <w:pPr>
        <w:numPr>
          <w:ilvl w:val="0"/>
          <w:numId w:val="0"/>
        </w:numPr>
        <w:jc w:val="left"/>
        <w:rPr>
          <w:rFonts w:hint="eastAsia"/>
          <w:b/>
          <w:bCs/>
          <w:sz w:val="28"/>
          <w:szCs w:val="36"/>
          <w:lang w:val="en-US" w:eastAsia="zh-CN"/>
        </w:rPr>
      </w:pPr>
    </w:p>
    <w:p w14:paraId="0EE105AA">
      <w:pPr>
        <w:numPr>
          <w:ilvl w:val="0"/>
          <w:numId w:val="0"/>
        </w:numPr>
        <w:jc w:val="left"/>
        <w:rPr>
          <w:rFonts w:hint="eastAsia"/>
          <w:b/>
          <w:bCs/>
          <w:sz w:val="28"/>
          <w:szCs w:val="36"/>
          <w:lang w:val="en-US" w:eastAsia="zh-CN"/>
        </w:rPr>
      </w:pPr>
      <w:bookmarkStart w:id="1" w:name="_GoBack"/>
      <w:bookmarkEnd w:id="1"/>
      <w:r>
        <w:rPr>
          <w:rFonts w:hint="eastAsia"/>
          <w:b/>
          <w:bCs/>
          <w:sz w:val="28"/>
          <w:szCs w:val="36"/>
          <w:lang w:val="en-US" w:eastAsia="zh-CN"/>
        </w:rPr>
        <w:t>评分细则如下：</w:t>
      </w:r>
    </w:p>
    <w:p w14:paraId="4D5397E7">
      <w:pPr>
        <w:numPr>
          <w:ilvl w:val="0"/>
          <w:numId w:val="0"/>
        </w:numPr>
        <w:jc w:val="left"/>
        <w:rPr>
          <w:rFonts w:hint="eastAsia"/>
          <w:b/>
          <w:bCs/>
          <w:sz w:val="28"/>
          <w:szCs w:val="36"/>
          <w:lang w:val="en-US" w:eastAsia="zh-CN"/>
        </w:rPr>
      </w:pPr>
    </w:p>
    <w:p w14:paraId="38E90F21">
      <w:pPr>
        <w:numPr>
          <w:ilvl w:val="0"/>
          <w:numId w:val="0"/>
        </w:numPr>
        <w:jc w:val="left"/>
        <w:rPr>
          <w:rFonts w:hint="eastAsia"/>
          <w:b/>
          <w:bCs/>
          <w:sz w:val="28"/>
          <w:szCs w:val="36"/>
          <w:lang w:val="en-US" w:eastAsia="zh-CN"/>
        </w:rPr>
      </w:pPr>
    </w:p>
    <w:tbl>
      <w:tblPr>
        <w:tblStyle w:val="4"/>
        <w:tblpPr w:leftFromText="180" w:rightFromText="180" w:vertAnchor="text" w:horzAnchor="page" w:tblpXSpec="center" w:tblpY="-229"/>
        <w:tblOverlap w:val="never"/>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259"/>
        <w:gridCol w:w="6783"/>
        <w:gridCol w:w="1134"/>
      </w:tblGrid>
      <w:tr w14:paraId="5F29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877" w:type="dxa"/>
            <w:vMerge w:val="restart"/>
            <w:tcBorders>
              <w:top w:val="single" w:color="auto" w:sz="4" w:space="0"/>
              <w:left w:val="single" w:color="auto" w:sz="4" w:space="0"/>
              <w:right w:val="single" w:color="auto" w:sz="4" w:space="0"/>
              <w:tl2br w:val="single" w:color="auto" w:sz="4" w:space="0"/>
            </w:tcBorders>
            <w:vAlign w:val="center"/>
          </w:tcPr>
          <w:p w14:paraId="7205FDE4">
            <w:pPr>
              <w:spacing w:line="288" w:lineRule="auto"/>
              <w:ind w:right="-107" w:rightChars="-51" w:firstLine="422" w:firstLineChars="200"/>
              <w:rPr>
                <w:rFonts w:ascii="宋体" w:hAnsi="宋体"/>
                <w:b/>
                <w:szCs w:val="21"/>
              </w:rPr>
            </w:pPr>
            <w:r>
              <w:rPr>
                <w:rFonts w:hint="eastAsia" w:ascii="宋体" w:hAnsi="宋体"/>
                <w:b/>
                <w:szCs w:val="21"/>
              </w:rPr>
              <w:t>细则</w:t>
            </w:r>
          </w:p>
          <w:p w14:paraId="0C98DA44">
            <w:pPr>
              <w:spacing w:line="288" w:lineRule="auto"/>
              <w:rPr>
                <w:rFonts w:ascii="宋体" w:hAnsi="宋体"/>
                <w:b/>
                <w:szCs w:val="21"/>
              </w:rPr>
            </w:pPr>
            <w:r>
              <w:rPr>
                <w:rFonts w:hint="eastAsia" w:ascii="宋体" w:hAnsi="宋体"/>
                <w:b/>
                <w:szCs w:val="21"/>
              </w:rPr>
              <w:t>项目</w:t>
            </w:r>
          </w:p>
        </w:tc>
        <w:tc>
          <w:tcPr>
            <w:tcW w:w="1259" w:type="dxa"/>
            <w:vMerge w:val="restart"/>
            <w:tcBorders>
              <w:top w:val="single" w:color="auto" w:sz="4" w:space="0"/>
              <w:left w:val="single" w:color="auto" w:sz="4" w:space="0"/>
              <w:right w:val="single" w:color="auto" w:sz="4" w:space="0"/>
            </w:tcBorders>
            <w:vAlign w:val="center"/>
          </w:tcPr>
          <w:p w14:paraId="59D2BD0F">
            <w:pPr>
              <w:spacing w:line="440" w:lineRule="exact"/>
              <w:jc w:val="center"/>
              <w:rPr>
                <w:rFonts w:ascii="宋体" w:hAnsi="宋体"/>
                <w:b/>
                <w:szCs w:val="21"/>
              </w:rPr>
            </w:pPr>
            <w:r>
              <w:rPr>
                <w:rFonts w:hint="eastAsia" w:ascii="宋体" w:hAnsi="宋体"/>
                <w:b/>
                <w:szCs w:val="21"/>
              </w:rPr>
              <w:t>评审内容</w:t>
            </w:r>
          </w:p>
        </w:tc>
        <w:tc>
          <w:tcPr>
            <w:tcW w:w="6783" w:type="dxa"/>
            <w:vMerge w:val="restart"/>
            <w:tcBorders>
              <w:top w:val="single" w:color="auto" w:sz="4" w:space="0"/>
              <w:left w:val="single" w:color="auto" w:sz="4" w:space="0"/>
              <w:right w:val="single" w:color="auto" w:sz="4" w:space="0"/>
            </w:tcBorders>
            <w:vAlign w:val="center"/>
          </w:tcPr>
          <w:p w14:paraId="36E75622">
            <w:pPr>
              <w:spacing w:line="288" w:lineRule="auto"/>
              <w:jc w:val="center"/>
              <w:rPr>
                <w:rFonts w:hint="eastAsia" w:ascii="宋体" w:hAnsi="宋体" w:eastAsia="宋体"/>
                <w:b/>
                <w:szCs w:val="21"/>
                <w:lang w:eastAsia="zh-CN"/>
              </w:rPr>
            </w:pPr>
            <w:r>
              <w:rPr>
                <w:rFonts w:hint="eastAsia" w:ascii="宋体" w:hAnsi="宋体"/>
                <w:b/>
                <w:szCs w:val="21"/>
                <w:lang w:eastAsia="zh-CN"/>
              </w:rPr>
              <w:t>评分标准</w:t>
            </w:r>
          </w:p>
        </w:tc>
        <w:tc>
          <w:tcPr>
            <w:tcW w:w="1134" w:type="dxa"/>
            <w:vMerge w:val="restart"/>
            <w:tcBorders>
              <w:top w:val="single" w:color="auto" w:sz="4" w:space="0"/>
              <w:left w:val="single" w:color="auto" w:sz="4" w:space="0"/>
              <w:right w:val="single" w:color="auto" w:sz="4" w:space="0"/>
            </w:tcBorders>
            <w:vAlign w:val="center"/>
          </w:tcPr>
          <w:p w14:paraId="47688FF6">
            <w:pPr>
              <w:spacing w:line="288" w:lineRule="auto"/>
              <w:jc w:val="center"/>
              <w:rPr>
                <w:rFonts w:ascii="宋体" w:hAnsi="宋体"/>
                <w:b/>
                <w:szCs w:val="21"/>
              </w:rPr>
            </w:pPr>
            <w:r>
              <w:rPr>
                <w:rFonts w:hint="eastAsia" w:ascii="宋体" w:hAnsi="宋体"/>
                <w:b/>
                <w:szCs w:val="21"/>
              </w:rPr>
              <w:t>分值</w:t>
            </w:r>
          </w:p>
        </w:tc>
      </w:tr>
      <w:tr w14:paraId="7170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877" w:type="dxa"/>
            <w:vMerge w:val="continue"/>
            <w:tcBorders>
              <w:left w:val="single" w:color="auto" w:sz="4" w:space="0"/>
              <w:bottom w:val="single" w:color="auto" w:sz="4" w:space="0"/>
              <w:right w:val="single" w:color="auto" w:sz="4" w:space="0"/>
              <w:tl2br w:val="single" w:color="auto" w:sz="4" w:space="0"/>
            </w:tcBorders>
            <w:vAlign w:val="center"/>
          </w:tcPr>
          <w:p w14:paraId="6C2FBF65">
            <w:pPr>
              <w:spacing w:line="288" w:lineRule="auto"/>
              <w:jc w:val="center"/>
              <w:rPr>
                <w:rFonts w:hint="eastAsia" w:ascii="宋体" w:hAnsi="宋体"/>
                <w:b/>
                <w:szCs w:val="21"/>
              </w:rPr>
            </w:pPr>
          </w:p>
        </w:tc>
        <w:tc>
          <w:tcPr>
            <w:tcW w:w="1259" w:type="dxa"/>
            <w:vMerge w:val="continue"/>
            <w:tcBorders>
              <w:left w:val="single" w:color="auto" w:sz="4" w:space="0"/>
              <w:bottom w:val="single" w:color="auto" w:sz="4" w:space="0"/>
              <w:right w:val="single" w:color="auto" w:sz="4" w:space="0"/>
            </w:tcBorders>
            <w:vAlign w:val="center"/>
          </w:tcPr>
          <w:p w14:paraId="7CE517D9">
            <w:pPr>
              <w:spacing w:line="440" w:lineRule="exact"/>
              <w:jc w:val="center"/>
              <w:rPr>
                <w:rFonts w:hint="eastAsia" w:ascii="宋体" w:hAnsi="宋体"/>
                <w:b/>
                <w:szCs w:val="21"/>
              </w:rPr>
            </w:pPr>
          </w:p>
        </w:tc>
        <w:tc>
          <w:tcPr>
            <w:tcW w:w="6783" w:type="dxa"/>
            <w:vMerge w:val="continue"/>
            <w:tcBorders>
              <w:left w:val="single" w:color="auto" w:sz="4" w:space="0"/>
              <w:bottom w:val="single" w:color="auto" w:sz="4" w:space="0"/>
              <w:right w:val="single" w:color="auto" w:sz="4" w:space="0"/>
            </w:tcBorders>
            <w:vAlign w:val="center"/>
          </w:tcPr>
          <w:p w14:paraId="2C946117">
            <w:pPr>
              <w:spacing w:line="288" w:lineRule="auto"/>
              <w:jc w:val="center"/>
              <w:rPr>
                <w:rFonts w:hint="eastAsia" w:ascii="宋体" w:hAnsi="宋体"/>
                <w:b/>
                <w:szCs w:val="21"/>
              </w:rPr>
            </w:pPr>
          </w:p>
        </w:tc>
        <w:tc>
          <w:tcPr>
            <w:tcW w:w="1134" w:type="dxa"/>
            <w:vMerge w:val="continue"/>
            <w:tcBorders>
              <w:left w:val="single" w:color="auto" w:sz="4" w:space="0"/>
              <w:bottom w:val="single" w:color="auto" w:sz="4" w:space="0"/>
              <w:right w:val="single" w:color="auto" w:sz="4" w:space="0"/>
            </w:tcBorders>
            <w:vAlign w:val="center"/>
          </w:tcPr>
          <w:p w14:paraId="167887BB">
            <w:pPr>
              <w:spacing w:line="288" w:lineRule="auto"/>
              <w:jc w:val="center"/>
              <w:rPr>
                <w:rFonts w:hint="eastAsia" w:ascii="宋体" w:hAnsi="宋体"/>
                <w:b/>
                <w:szCs w:val="21"/>
              </w:rPr>
            </w:pPr>
          </w:p>
        </w:tc>
      </w:tr>
      <w:tr w14:paraId="729D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6BCE691">
            <w:pPr>
              <w:spacing w:line="288" w:lineRule="auto"/>
              <w:jc w:val="center"/>
              <w:rPr>
                <w:rFonts w:ascii="宋体" w:hAnsi="宋体"/>
                <w:szCs w:val="21"/>
              </w:rPr>
            </w:pPr>
            <w:r>
              <w:rPr>
                <w:rFonts w:hint="eastAsia" w:ascii="宋体" w:hAnsi="宋体"/>
                <w:szCs w:val="21"/>
              </w:rPr>
              <w:t>价格分</w:t>
            </w:r>
          </w:p>
          <w:p w14:paraId="7F049BF9">
            <w:pPr>
              <w:spacing w:line="288" w:lineRule="auto"/>
              <w:jc w:val="center"/>
              <w:rPr>
                <w:rFonts w:ascii="宋体" w:hAnsi="宋体"/>
                <w:szCs w:val="21"/>
              </w:rPr>
            </w:pPr>
            <w:r>
              <w:rPr>
                <w:rFonts w:hint="eastAsia" w:ascii="宋体" w:hAnsi="宋体"/>
                <w:szCs w:val="21"/>
              </w:rPr>
              <w:t>（</w:t>
            </w:r>
            <w:r>
              <w:rPr>
                <w:rFonts w:hint="eastAsia" w:ascii="宋体" w:hAnsi="宋体"/>
                <w:szCs w:val="21"/>
                <w:lang w:val="en-US" w:eastAsia="zh-CN"/>
              </w:rPr>
              <w:t>40</w:t>
            </w:r>
            <w:r>
              <w:rPr>
                <w:rFonts w:hint="eastAsia" w:ascii="宋体" w:hAnsi="宋体"/>
                <w:szCs w:val="21"/>
              </w:rPr>
              <w:t>分）</w:t>
            </w:r>
          </w:p>
        </w:tc>
        <w:tc>
          <w:tcPr>
            <w:tcW w:w="1259" w:type="dxa"/>
            <w:tcBorders>
              <w:top w:val="single" w:color="auto" w:sz="4" w:space="0"/>
              <w:left w:val="single" w:color="auto" w:sz="4" w:space="0"/>
              <w:bottom w:val="single" w:color="auto" w:sz="4" w:space="0"/>
              <w:right w:val="single" w:color="auto" w:sz="4" w:space="0"/>
            </w:tcBorders>
            <w:vAlign w:val="center"/>
          </w:tcPr>
          <w:p w14:paraId="302CB41A">
            <w:pPr>
              <w:spacing w:line="440" w:lineRule="exact"/>
              <w:jc w:val="center"/>
              <w:rPr>
                <w:rFonts w:ascii="宋体" w:hAnsi="宋体"/>
                <w:szCs w:val="21"/>
              </w:rPr>
            </w:pPr>
            <w:r>
              <w:rPr>
                <w:rFonts w:hint="eastAsia" w:ascii="宋体" w:hAnsi="宋体"/>
                <w:szCs w:val="21"/>
              </w:rPr>
              <w:t>投标报价</w:t>
            </w:r>
          </w:p>
        </w:tc>
        <w:tc>
          <w:tcPr>
            <w:tcW w:w="678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1791AC">
            <w:pPr>
              <w:spacing w:line="288" w:lineRule="auto"/>
              <w:rPr>
                <w:rFonts w:ascii="宋体" w:hAnsi="宋体"/>
                <w:szCs w:val="21"/>
              </w:rPr>
            </w:pPr>
            <w:r>
              <w:rPr>
                <w:rFonts w:hint="eastAsia" w:ascii="宋体" w:hAnsi="宋体"/>
                <w:szCs w:val="21"/>
              </w:rPr>
              <w:t>价格分采用低价优先法计算，即满足</w:t>
            </w:r>
            <w:r>
              <w:rPr>
                <w:rFonts w:hint="eastAsia" w:ascii="宋体" w:hAnsi="宋体"/>
                <w:szCs w:val="21"/>
                <w:lang w:eastAsia="zh-CN"/>
              </w:rPr>
              <w:t>论证</w:t>
            </w:r>
            <w:r>
              <w:rPr>
                <w:rFonts w:hint="eastAsia" w:ascii="宋体" w:hAnsi="宋体"/>
                <w:szCs w:val="21"/>
              </w:rPr>
              <w:t>文件要求且投标价格最低的投标报价为评标基准价，其价格分为满分。其他投标人的价格分统一按下列公式计算：投标报价得分=（评标基准价/投标报价）×</w:t>
            </w:r>
            <w:r>
              <w:rPr>
                <w:rFonts w:hint="eastAsia" w:ascii="宋体" w:hAnsi="宋体"/>
                <w:szCs w:val="21"/>
                <w:lang w:val="en-US" w:eastAsia="zh-CN"/>
              </w:rPr>
              <w:t>4</w:t>
            </w:r>
            <w:r>
              <w:rPr>
                <w:rFonts w:hint="eastAsia"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14:paraId="230B440B">
            <w:pPr>
              <w:spacing w:line="288" w:lineRule="auto"/>
              <w:jc w:val="center"/>
              <w:rPr>
                <w:rFonts w:ascii="宋体" w:hAnsi="宋体"/>
                <w:szCs w:val="21"/>
              </w:rPr>
            </w:pPr>
            <w:r>
              <w:rPr>
                <w:rFonts w:hint="eastAsia" w:ascii="宋体" w:hAnsi="宋体"/>
                <w:szCs w:val="21"/>
                <w:lang w:val="en-US" w:eastAsia="zh-CN"/>
              </w:rPr>
              <w:t>40</w:t>
            </w:r>
            <w:r>
              <w:rPr>
                <w:rFonts w:hint="eastAsia" w:ascii="宋体" w:hAnsi="宋体"/>
                <w:szCs w:val="21"/>
              </w:rPr>
              <w:t>分</w:t>
            </w:r>
          </w:p>
        </w:tc>
      </w:tr>
      <w:tr w14:paraId="2F23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7" w:hRule="atLeast"/>
          <w:jc w:val="center"/>
        </w:trPr>
        <w:tc>
          <w:tcPr>
            <w:tcW w:w="877" w:type="dxa"/>
            <w:vMerge w:val="restart"/>
            <w:tcBorders>
              <w:left w:val="single" w:color="auto" w:sz="4" w:space="0"/>
              <w:right w:val="single" w:color="auto" w:sz="4" w:space="0"/>
            </w:tcBorders>
            <w:vAlign w:val="center"/>
          </w:tcPr>
          <w:p w14:paraId="2057BE95">
            <w:pPr>
              <w:spacing w:line="288" w:lineRule="auto"/>
              <w:jc w:val="center"/>
              <w:rPr>
                <w:rFonts w:ascii="宋体" w:hAnsi="宋体"/>
                <w:szCs w:val="21"/>
              </w:rPr>
            </w:pPr>
            <w:r>
              <w:rPr>
                <w:rFonts w:hint="eastAsia" w:ascii="宋体" w:hAnsi="宋体"/>
                <w:szCs w:val="21"/>
              </w:rPr>
              <w:t>技术部分</w:t>
            </w:r>
          </w:p>
          <w:p w14:paraId="6BBC20D5">
            <w:pPr>
              <w:spacing w:line="288" w:lineRule="auto"/>
              <w:jc w:val="center"/>
              <w:rPr>
                <w:rFonts w:ascii="宋体" w:hAnsi="宋体"/>
                <w:szCs w:val="21"/>
              </w:rPr>
            </w:pPr>
            <w:r>
              <w:rPr>
                <w:rFonts w:hint="eastAsia" w:ascii="宋体" w:hAnsi="宋体"/>
                <w:szCs w:val="21"/>
              </w:rPr>
              <w:t>（</w:t>
            </w:r>
            <w:r>
              <w:rPr>
                <w:rFonts w:hint="eastAsia" w:ascii="宋体" w:hAnsi="宋体"/>
                <w:szCs w:val="21"/>
                <w:lang w:val="en-US" w:eastAsia="zh-CN"/>
              </w:rPr>
              <w:t>40</w:t>
            </w:r>
            <w:r>
              <w:rPr>
                <w:rFonts w:hint="eastAsia" w:ascii="宋体" w:hAnsi="宋体"/>
                <w:szCs w:val="21"/>
              </w:rPr>
              <w:t>分）</w:t>
            </w:r>
          </w:p>
        </w:tc>
        <w:tc>
          <w:tcPr>
            <w:tcW w:w="1259" w:type="dxa"/>
            <w:tcBorders>
              <w:left w:val="single" w:color="auto" w:sz="4" w:space="0"/>
              <w:right w:val="single" w:color="auto" w:sz="4" w:space="0"/>
            </w:tcBorders>
            <w:vAlign w:val="center"/>
          </w:tcPr>
          <w:p w14:paraId="671C4135">
            <w:pPr>
              <w:spacing w:line="440" w:lineRule="exact"/>
              <w:ind w:left="122" w:leftChars="58"/>
              <w:jc w:val="left"/>
              <w:rPr>
                <w:rFonts w:ascii="宋体" w:hAnsi="宋体" w:cs="宋体"/>
                <w:szCs w:val="21"/>
              </w:rPr>
            </w:pPr>
            <w:r>
              <w:rPr>
                <w:rFonts w:hint="eastAsia" w:ascii="宋体" w:hAnsi="宋体" w:cs="宋体"/>
                <w:szCs w:val="21"/>
              </w:rPr>
              <w:t>投标人整体方案评比</w:t>
            </w:r>
          </w:p>
        </w:tc>
        <w:tc>
          <w:tcPr>
            <w:tcW w:w="6783" w:type="dxa"/>
            <w:tcBorders>
              <w:top w:val="single" w:color="auto" w:sz="4" w:space="0"/>
              <w:left w:val="single" w:color="auto" w:sz="4" w:space="0"/>
              <w:right w:val="single" w:color="auto" w:sz="4" w:space="0"/>
            </w:tcBorders>
            <w:tcMar>
              <w:left w:w="57" w:type="dxa"/>
              <w:right w:w="57" w:type="dxa"/>
            </w:tcMar>
            <w:vAlign w:val="center"/>
          </w:tcPr>
          <w:p w14:paraId="4AE73578">
            <w:pPr>
              <w:tabs>
                <w:tab w:val="left" w:pos="-720"/>
              </w:tabs>
              <w:suppressAutoHyphens/>
              <w:spacing w:line="4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根据各投标人提供的维保实施方案：包括维保组织、维保计划、维保技术应用、实验室系统操作培训、故障预防及预警措施等方案进行评审。</w:t>
            </w:r>
          </w:p>
          <w:p w14:paraId="63DF130D">
            <w:pPr>
              <w:tabs>
                <w:tab w:val="left" w:pos="-720"/>
              </w:tabs>
              <w:suppressAutoHyphens/>
              <w:spacing w:line="440" w:lineRule="exact"/>
              <w:rPr>
                <w:rFonts w:ascii="宋体" w:hAnsi="宋体" w:cs="宋体"/>
                <w:szCs w:val="21"/>
              </w:rPr>
            </w:pPr>
            <w:r>
              <w:rPr>
                <w:rFonts w:hint="eastAsia" w:ascii="宋体" w:hAnsi="宋体" w:eastAsia="宋体" w:cs="宋体"/>
                <w:szCs w:val="21"/>
                <w:lang w:val="en-US" w:eastAsia="zh-CN"/>
              </w:rPr>
              <w:t>优：（11-15分）；</w:t>
            </w:r>
            <w:r>
              <w:rPr>
                <w:rFonts w:hint="eastAsia" w:ascii="宋体" w:hAnsi="宋体" w:cs="宋体"/>
                <w:szCs w:val="21"/>
              </w:rPr>
              <w:t>良：（</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）分；差：（0-</w:t>
            </w:r>
            <w:r>
              <w:rPr>
                <w:rFonts w:hint="eastAsia" w:ascii="宋体" w:hAnsi="宋体" w:cs="宋体"/>
                <w:szCs w:val="21"/>
                <w:lang w:val="en-US" w:eastAsia="zh-CN"/>
              </w:rPr>
              <w:t>5</w:t>
            </w:r>
            <w:r>
              <w:rPr>
                <w:rFonts w:hint="eastAsia" w:ascii="宋体" w:hAnsi="宋体" w:cs="宋体"/>
                <w:szCs w:val="21"/>
              </w:rPr>
              <w:t>分）</w:t>
            </w:r>
          </w:p>
        </w:tc>
        <w:tc>
          <w:tcPr>
            <w:tcW w:w="1134" w:type="dxa"/>
            <w:tcBorders>
              <w:top w:val="single" w:color="auto" w:sz="4" w:space="0"/>
              <w:left w:val="single" w:color="auto" w:sz="4" w:space="0"/>
              <w:right w:val="single" w:color="auto" w:sz="4" w:space="0"/>
            </w:tcBorders>
            <w:vAlign w:val="center"/>
          </w:tcPr>
          <w:p w14:paraId="0D0B9459">
            <w:pPr>
              <w:pStyle w:val="2"/>
              <w:spacing w:line="440" w:lineRule="exact"/>
              <w:ind w:firstLine="0"/>
              <w:jc w:val="center"/>
              <w:rPr>
                <w:rFonts w:ascii="宋体" w:hAnsi="宋体"/>
                <w:szCs w:val="21"/>
              </w:rPr>
            </w:pPr>
            <w:r>
              <w:rPr>
                <w:rFonts w:hint="eastAsia" w:ascii="宋体" w:hAnsi="宋体"/>
                <w:szCs w:val="21"/>
                <w:lang w:val="en-US" w:eastAsia="zh-CN"/>
              </w:rPr>
              <w:t>15</w:t>
            </w:r>
            <w:r>
              <w:rPr>
                <w:rFonts w:hint="eastAsia" w:ascii="宋体" w:hAnsi="宋体"/>
                <w:szCs w:val="21"/>
              </w:rPr>
              <w:t>分</w:t>
            </w:r>
          </w:p>
        </w:tc>
      </w:tr>
      <w:tr w14:paraId="3632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77" w:type="dxa"/>
            <w:vMerge w:val="continue"/>
            <w:tcBorders>
              <w:left w:val="single" w:color="auto" w:sz="4" w:space="0"/>
              <w:right w:val="single" w:color="auto" w:sz="4" w:space="0"/>
            </w:tcBorders>
            <w:vAlign w:val="center"/>
          </w:tcPr>
          <w:p w14:paraId="22B96967">
            <w:pPr>
              <w:spacing w:line="288" w:lineRule="auto"/>
              <w:jc w:val="center"/>
              <w:rPr>
                <w:rFonts w:ascii="宋体" w:hAnsi="宋体"/>
                <w:szCs w:val="21"/>
              </w:rPr>
            </w:pPr>
          </w:p>
        </w:tc>
        <w:tc>
          <w:tcPr>
            <w:tcW w:w="1259" w:type="dxa"/>
            <w:tcBorders>
              <w:left w:val="single" w:color="auto" w:sz="4" w:space="0"/>
              <w:right w:val="single" w:color="auto" w:sz="4" w:space="0"/>
            </w:tcBorders>
            <w:vAlign w:val="center"/>
          </w:tcPr>
          <w:p w14:paraId="23ABB63C">
            <w:pPr>
              <w:spacing w:line="440" w:lineRule="exact"/>
              <w:ind w:left="122" w:leftChars="58"/>
              <w:jc w:val="left"/>
              <w:rPr>
                <w:rFonts w:ascii="宋体" w:hAnsi="宋体" w:cs="宋体"/>
                <w:szCs w:val="21"/>
              </w:rPr>
            </w:pPr>
            <w:r>
              <w:rPr>
                <w:rFonts w:hint="eastAsia" w:ascii="宋体" w:hAnsi="宋体"/>
                <w:color w:val="000000" w:themeColor="text1"/>
                <w:szCs w:val="21"/>
                <w14:textFill>
                  <w14:solidFill>
                    <w14:schemeClr w14:val="tx1"/>
                  </w14:solidFill>
                </w14:textFill>
              </w:rPr>
              <w:t>对本项目设备的熟悉程度</w:t>
            </w:r>
          </w:p>
        </w:tc>
        <w:tc>
          <w:tcPr>
            <w:tcW w:w="6783" w:type="dxa"/>
            <w:tcBorders>
              <w:top w:val="single" w:color="auto" w:sz="4" w:space="0"/>
              <w:left w:val="single" w:color="auto" w:sz="4" w:space="0"/>
              <w:right w:val="single" w:color="auto" w:sz="4" w:space="0"/>
            </w:tcBorders>
            <w:tcMar>
              <w:left w:w="57" w:type="dxa"/>
              <w:right w:w="57" w:type="dxa"/>
            </w:tcMar>
            <w:vAlign w:val="center"/>
          </w:tcPr>
          <w:p w14:paraId="434729FA">
            <w:pPr>
              <w:pStyle w:val="2"/>
              <w:spacing w:line="360" w:lineRule="auto"/>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根据投标人对本项目设备以往技术要点及设备情况的熟悉、理解程度进行综合评定，提供相关材料做为依据。</w:t>
            </w:r>
          </w:p>
          <w:p w14:paraId="3476FA61">
            <w:pPr>
              <w:tabs>
                <w:tab w:val="left" w:pos="-720"/>
              </w:tabs>
              <w:suppressAutoHyphens/>
              <w:spacing w:line="440" w:lineRule="exact"/>
              <w:ind w:firstLine="105" w:firstLineChars="50"/>
              <w:rPr>
                <w:rFonts w:ascii="宋体" w:hAnsi="宋体"/>
                <w:szCs w:val="21"/>
              </w:rPr>
            </w:pPr>
            <w:r>
              <w:rPr>
                <w:rFonts w:hint="eastAsia" w:ascii="宋体" w:hAnsi="宋体" w:cs="宋体"/>
                <w:color w:val="000000" w:themeColor="text1"/>
                <w:szCs w:val="21"/>
                <w14:textFill>
                  <w14:solidFill>
                    <w14:schemeClr w14:val="tx1"/>
                  </w14:solidFill>
                </w14:textFill>
              </w:rPr>
              <w:t>优：（</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分）；良：（</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分）；差：（0-</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tc>
        <w:tc>
          <w:tcPr>
            <w:tcW w:w="1134" w:type="dxa"/>
            <w:tcBorders>
              <w:top w:val="single" w:color="auto" w:sz="4" w:space="0"/>
              <w:left w:val="single" w:color="auto" w:sz="4" w:space="0"/>
              <w:right w:val="single" w:color="auto" w:sz="4" w:space="0"/>
            </w:tcBorders>
            <w:vAlign w:val="center"/>
          </w:tcPr>
          <w:p w14:paraId="643E53B7">
            <w:pPr>
              <w:pStyle w:val="2"/>
              <w:spacing w:line="440" w:lineRule="exact"/>
              <w:ind w:firstLine="0"/>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r>
      <w:tr w14:paraId="1564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6" w:hRule="atLeast"/>
          <w:jc w:val="center"/>
        </w:trPr>
        <w:tc>
          <w:tcPr>
            <w:tcW w:w="877" w:type="dxa"/>
            <w:vMerge w:val="continue"/>
            <w:tcBorders>
              <w:left w:val="single" w:color="auto" w:sz="4" w:space="0"/>
              <w:right w:val="single" w:color="auto" w:sz="4" w:space="0"/>
            </w:tcBorders>
            <w:vAlign w:val="center"/>
          </w:tcPr>
          <w:p w14:paraId="71CDF4F8">
            <w:pPr>
              <w:spacing w:line="288" w:lineRule="auto"/>
              <w:jc w:val="center"/>
              <w:rPr>
                <w:rFonts w:ascii="宋体" w:hAnsi="宋体"/>
                <w:szCs w:val="21"/>
              </w:rPr>
            </w:pPr>
          </w:p>
        </w:tc>
        <w:tc>
          <w:tcPr>
            <w:tcW w:w="1259" w:type="dxa"/>
            <w:tcBorders>
              <w:left w:val="single" w:color="auto" w:sz="4" w:space="0"/>
              <w:right w:val="single" w:color="auto" w:sz="4" w:space="0"/>
            </w:tcBorders>
            <w:vAlign w:val="center"/>
          </w:tcPr>
          <w:p w14:paraId="2DFAB5EB">
            <w:pPr>
              <w:pStyle w:val="2"/>
              <w:spacing w:line="440" w:lineRule="exact"/>
              <w:ind w:left="101" w:leftChars="48" w:right="141" w:rightChars="67" w:firstLine="10" w:firstLineChars="5"/>
              <w:rPr>
                <w:rFonts w:ascii="宋体" w:hAnsi="宋体"/>
                <w:szCs w:val="21"/>
              </w:rPr>
            </w:pPr>
            <w:r>
              <w:rPr>
                <w:rFonts w:hint="eastAsia" w:ascii="宋体" w:hAnsi="宋体"/>
                <w:szCs w:val="21"/>
              </w:rPr>
              <w:t>投标人配件、工具储备情况</w:t>
            </w:r>
          </w:p>
        </w:tc>
        <w:tc>
          <w:tcPr>
            <w:tcW w:w="6783" w:type="dxa"/>
            <w:tcBorders>
              <w:top w:val="single" w:color="auto" w:sz="4" w:space="0"/>
              <w:left w:val="single" w:color="auto" w:sz="4" w:space="0"/>
              <w:right w:val="single" w:color="auto" w:sz="4" w:space="0"/>
            </w:tcBorders>
            <w:tcMar>
              <w:left w:w="57" w:type="dxa"/>
              <w:right w:w="57" w:type="dxa"/>
            </w:tcMar>
            <w:vAlign w:val="center"/>
          </w:tcPr>
          <w:p w14:paraId="6530CE94">
            <w:pPr>
              <w:pStyle w:val="3"/>
              <w:spacing w:line="380" w:lineRule="exact"/>
              <w:outlineLvl w:val="0"/>
              <w:rPr>
                <w:rFonts w:ascii="新宋体" w:hAnsi="新宋体" w:eastAsia="新宋体"/>
              </w:rPr>
            </w:pPr>
            <w:r>
              <w:rPr>
                <w:rFonts w:hint="eastAsia" w:ascii="新宋体" w:hAnsi="新宋体" w:eastAsia="新宋体"/>
              </w:rPr>
              <w:t>（</w:t>
            </w:r>
            <w:r>
              <w:rPr>
                <w:rFonts w:hint="eastAsia" w:ascii="新宋体" w:hAnsi="新宋体" w:eastAsia="新宋体"/>
                <w:lang w:val="en-US" w:eastAsia="zh-CN"/>
              </w:rPr>
              <w:t>1</w:t>
            </w:r>
            <w:r>
              <w:rPr>
                <w:rFonts w:hint="eastAsia" w:ascii="新宋体" w:hAnsi="新宋体" w:eastAsia="新宋体"/>
              </w:rPr>
              <w:t>）</w:t>
            </w:r>
            <w:r>
              <w:rPr>
                <w:rFonts w:hint="eastAsia" w:ascii="新宋体" w:hAnsi="新宋体" w:eastAsia="新宋体"/>
                <w:lang w:val="zh-CN" w:eastAsia="zh-CN"/>
              </w:rPr>
              <w:t>投标人在省内设有服务机构，</w:t>
            </w:r>
            <w:r>
              <w:rPr>
                <w:rFonts w:hint="eastAsia" w:ascii="新宋体" w:hAnsi="新宋体" w:eastAsia="新宋体"/>
                <w:lang w:val="en-US" w:eastAsia="zh-CN"/>
              </w:rPr>
              <w:t>并设有</w:t>
            </w:r>
            <w:r>
              <w:rPr>
                <w:rFonts w:hint="eastAsia" w:ascii="新宋体" w:hAnsi="新宋体" w:eastAsia="新宋体"/>
                <w:lang w:val="zh-CN" w:eastAsia="zh-CN"/>
              </w:rPr>
              <w:t>配件仓库，</w:t>
            </w:r>
            <w:r>
              <w:rPr>
                <w:rFonts w:hint="eastAsia" w:ascii="新宋体" w:hAnsi="新宋体" w:eastAsia="新宋体"/>
                <w:lang w:val="en-US" w:eastAsia="zh-CN"/>
              </w:rPr>
              <w:t>有完整的设备备件</w:t>
            </w:r>
            <w:r>
              <w:rPr>
                <w:rFonts w:hint="eastAsia" w:ascii="新宋体" w:hAnsi="新宋体" w:eastAsia="新宋体"/>
                <w:lang w:val="zh-CN" w:eastAsia="zh-CN"/>
              </w:rPr>
              <w:t>（须提供相关证明材料）。</w:t>
            </w:r>
            <w:r>
              <w:rPr>
                <w:rFonts w:hint="eastAsia" w:ascii="新宋体" w:hAnsi="新宋体" w:eastAsia="新宋体"/>
              </w:rPr>
              <w:t>全部提供得</w:t>
            </w:r>
            <w:r>
              <w:rPr>
                <w:rFonts w:hint="eastAsia" w:ascii="新宋体" w:hAnsi="新宋体" w:eastAsia="新宋体"/>
                <w:lang w:val="en-US" w:eastAsia="zh-CN"/>
              </w:rPr>
              <w:t>3</w:t>
            </w:r>
            <w:r>
              <w:rPr>
                <w:rFonts w:hint="eastAsia" w:ascii="新宋体" w:hAnsi="新宋体" w:eastAsia="新宋体"/>
              </w:rPr>
              <w:t>分</w:t>
            </w:r>
            <w:r>
              <w:rPr>
                <w:rFonts w:hint="eastAsia" w:ascii="新宋体" w:hAnsi="新宋体" w:eastAsia="新宋体"/>
                <w:lang w:eastAsia="zh-CN"/>
              </w:rPr>
              <w:t>，</w:t>
            </w:r>
            <w:r>
              <w:rPr>
                <w:rFonts w:hint="eastAsia" w:ascii="新宋体" w:hAnsi="新宋体" w:eastAsia="新宋体"/>
              </w:rPr>
              <w:t>提供不全或未提供者不得分。</w:t>
            </w:r>
          </w:p>
          <w:p w14:paraId="5383D229">
            <w:pPr>
              <w:pStyle w:val="3"/>
              <w:spacing w:line="380" w:lineRule="exact"/>
              <w:outlineLvl w:val="0"/>
              <w:rPr>
                <w:rFonts w:hAnsi="宋体"/>
              </w:rPr>
            </w:pPr>
            <w:r>
              <w:rPr>
                <w:rFonts w:hint="eastAsia" w:ascii="新宋体" w:hAnsi="新宋体" w:eastAsia="新宋体"/>
              </w:rPr>
              <w:t>（</w:t>
            </w:r>
            <w:r>
              <w:rPr>
                <w:rFonts w:hint="eastAsia" w:ascii="新宋体" w:hAnsi="新宋体" w:eastAsia="新宋体"/>
                <w:lang w:val="en-US" w:eastAsia="zh-CN"/>
              </w:rPr>
              <w:t>2</w:t>
            </w:r>
            <w:r>
              <w:rPr>
                <w:rFonts w:hint="eastAsia" w:ascii="新宋体" w:hAnsi="新宋体" w:eastAsia="新宋体"/>
              </w:rPr>
              <w:t>）投标人须具有本项目设备维修涉及的全套专业维修工具</w:t>
            </w:r>
            <w:r>
              <w:rPr>
                <w:rFonts w:hint="eastAsia" w:ascii="新宋体" w:hAnsi="新宋体" w:eastAsia="新宋体"/>
                <w:lang w:eastAsia="zh-CN"/>
              </w:rPr>
              <w:t>（</w:t>
            </w:r>
            <w:r>
              <w:rPr>
                <w:rFonts w:hint="eastAsia" w:ascii="新宋体" w:hAnsi="新宋体" w:eastAsia="新宋体"/>
                <w:lang w:val="en-US" w:eastAsia="zh-CN"/>
              </w:rPr>
              <w:t>需提供相关证明材料</w:t>
            </w:r>
            <w:r>
              <w:rPr>
                <w:rFonts w:hint="eastAsia" w:ascii="新宋体" w:hAnsi="新宋体" w:eastAsia="新宋体"/>
                <w:lang w:eastAsia="zh-CN"/>
              </w:rPr>
              <w:t>）</w:t>
            </w:r>
            <w:r>
              <w:rPr>
                <w:rFonts w:hint="eastAsia" w:ascii="新宋体" w:hAnsi="新宋体" w:eastAsia="新宋体"/>
              </w:rPr>
              <w:t>全部提供得</w:t>
            </w:r>
            <w:r>
              <w:rPr>
                <w:rFonts w:hint="eastAsia" w:ascii="新宋体" w:hAnsi="新宋体" w:eastAsia="新宋体"/>
                <w:lang w:val="en-US" w:eastAsia="zh-CN"/>
              </w:rPr>
              <w:t>2</w:t>
            </w:r>
            <w:r>
              <w:rPr>
                <w:rFonts w:hint="eastAsia" w:ascii="新宋体" w:hAnsi="新宋体" w:eastAsia="新宋体"/>
              </w:rPr>
              <w:t>分，不提供者不得分。</w:t>
            </w:r>
          </w:p>
        </w:tc>
        <w:tc>
          <w:tcPr>
            <w:tcW w:w="1134" w:type="dxa"/>
            <w:tcBorders>
              <w:top w:val="single" w:color="auto" w:sz="4" w:space="0"/>
              <w:left w:val="single" w:color="auto" w:sz="4" w:space="0"/>
              <w:right w:val="single" w:color="auto" w:sz="4" w:space="0"/>
            </w:tcBorders>
            <w:vAlign w:val="center"/>
          </w:tcPr>
          <w:p w14:paraId="19418B71">
            <w:pPr>
              <w:pStyle w:val="2"/>
              <w:spacing w:line="440" w:lineRule="exact"/>
              <w:ind w:firstLine="0"/>
              <w:jc w:val="center"/>
              <w:rPr>
                <w:rFonts w:ascii="宋体" w:hAnsi="宋体"/>
                <w:szCs w:val="21"/>
              </w:rPr>
            </w:pPr>
            <w:r>
              <w:rPr>
                <w:rFonts w:hint="eastAsia" w:ascii="宋体" w:hAnsi="宋体"/>
                <w:szCs w:val="21"/>
                <w:lang w:val="en-US" w:eastAsia="zh-CN"/>
              </w:rPr>
              <w:t>5</w:t>
            </w:r>
            <w:r>
              <w:rPr>
                <w:rFonts w:hint="eastAsia" w:ascii="宋体" w:hAnsi="宋体"/>
                <w:szCs w:val="21"/>
              </w:rPr>
              <w:t>分</w:t>
            </w:r>
          </w:p>
        </w:tc>
      </w:tr>
      <w:tr w14:paraId="5BA3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jc w:val="center"/>
        </w:trPr>
        <w:tc>
          <w:tcPr>
            <w:tcW w:w="877" w:type="dxa"/>
            <w:vMerge w:val="continue"/>
            <w:tcBorders>
              <w:left w:val="single" w:color="auto" w:sz="4" w:space="0"/>
              <w:right w:val="single" w:color="auto" w:sz="4" w:space="0"/>
            </w:tcBorders>
            <w:vAlign w:val="center"/>
          </w:tcPr>
          <w:p w14:paraId="7A1C2F6F">
            <w:pPr>
              <w:autoSpaceDE w:val="0"/>
              <w:autoSpaceDN w:val="0"/>
              <w:spacing w:line="288" w:lineRule="auto"/>
              <w:jc w:val="center"/>
              <w:rPr>
                <w:rFonts w:ascii="宋体" w:hAnsi="宋体"/>
                <w:szCs w:val="21"/>
              </w:rPr>
            </w:pPr>
          </w:p>
        </w:tc>
        <w:tc>
          <w:tcPr>
            <w:tcW w:w="1259" w:type="dxa"/>
            <w:tcBorders>
              <w:left w:val="single" w:color="auto" w:sz="4" w:space="0"/>
              <w:right w:val="single" w:color="auto" w:sz="4" w:space="0"/>
            </w:tcBorders>
            <w:vAlign w:val="center"/>
          </w:tcPr>
          <w:p w14:paraId="05C48853">
            <w:pPr>
              <w:pStyle w:val="2"/>
              <w:spacing w:line="440" w:lineRule="exact"/>
              <w:ind w:left="101" w:leftChars="48" w:right="141" w:rightChars="67" w:firstLine="10" w:firstLineChars="5"/>
              <w:rPr>
                <w:rFonts w:hint="eastAsia" w:ascii="新宋体" w:hAnsi="新宋体" w:eastAsia="新宋体" w:cs="Courier New"/>
                <w:kern w:val="2"/>
                <w:sz w:val="21"/>
                <w:szCs w:val="21"/>
                <w:lang w:val="zh-CN" w:eastAsia="zh-CN" w:bidi="ar-SA"/>
              </w:rPr>
            </w:pPr>
            <w:r>
              <w:rPr>
                <w:rFonts w:hint="eastAsia" w:ascii="新宋体" w:hAnsi="新宋体" w:eastAsia="新宋体" w:cs="Courier New"/>
                <w:kern w:val="2"/>
                <w:sz w:val="21"/>
                <w:szCs w:val="21"/>
                <w:lang w:val="zh-CN" w:eastAsia="zh-CN" w:bidi="ar-SA"/>
              </w:rPr>
              <w:t>投标供应商拟投入本项目的人员配置情况</w:t>
            </w:r>
          </w:p>
        </w:tc>
        <w:tc>
          <w:tcPr>
            <w:tcW w:w="6783" w:type="dxa"/>
            <w:tcBorders>
              <w:top w:val="single" w:color="auto" w:sz="4" w:space="0"/>
              <w:left w:val="single" w:color="auto" w:sz="4" w:space="0"/>
              <w:right w:val="single" w:color="auto" w:sz="4" w:space="0"/>
            </w:tcBorders>
            <w:tcMar>
              <w:left w:w="57" w:type="dxa"/>
              <w:right w:w="57" w:type="dxa"/>
            </w:tcMar>
            <w:vAlign w:val="center"/>
          </w:tcPr>
          <w:p w14:paraId="4E2716DB">
            <w:pPr>
              <w:pStyle w:val="2"/>
              <w:spacing w:line="440" w:lineRule="exact"/>
              <w:ind w:firstLine="0"/>
              <w:rPr>
                <w:rFonts w:hint="default" w:ascii="新宋体" w:hAnsi="新宋体" w:eastAsia="新宋体" w:cs="Courier New"/>
                <w:kern w:val="2"/>
                <w:sz w:val="21"/>
                <w:szCs w:val="21"/>
                <w:lang w:val="en-US" w:eastAsia="zh-CN" w:bidi="ar-SA"/>
              </w:rPr>
            </w:pPr>
            <w:r>
              <w:rPr>
                <w:rFonts w:hint="eastAsia" w:ascii="新宋体" w:hAnsi="新宋体" w:eastAsia="新宋体" w:cs="Courier New"/>
                <w:kern w:val="2"/>
                <w:sz w:val="21"/>
                <w:szCs w:val="21"/>
                <w:lang w:val="en-US" w:eastAsia="zh-CN" w:bidi="ar-SA"/>
              </w:rPr>
              <w:t>投标人</w:t>
            </w:r>
            <w:r>
              <w:rPr>
                <w:rFonts w:hint="eastAsia" w:ascii="新宋体" w:hAnsi="新宋体" w:eastAsia="新宋体" w:cs="Courier New"/>
                <w:kern w:val="2"/>
                <w:sz w:val="21"/>
                <w:szCs w:val="21"/>
                <w:lang w:val="zh-TW" w:eastAsia="zh-TW" w:bidi="ar-SA"/>
              </w:rPr>
              <w:t>具有制冷设备维修工、维修电工、电焊工、机修钳工、装配钳工、加工中心操作工技能等级类证书的</w:t>
            </w:r>
            <w:r>
              <w:rPr>
                <w:rFonts w:hint="eastAsia" w:ascii="新宋体" w:hAnsi="新宋体" w:eastAsia="新宋体" w:cs="Courier New"/>
                <w:kern w:val="2"/>
                <w:sz w:val="21"/>
                <w:szCs w:val="21"/>
                <w:lang w:val="zh-TW" w:eastAsia="zh-CN" w:bidi="ar-SA"/>
              </w:rPr>
              <w:t>，</w:t>
            </w:r>
            <w:r>
              <w:rPr>
                <w:rFonts w:hint="eastAsia" w:ascii="新宋体" w:hAnsi="新宋体" w:eastAsia="新宋体" w:cs="Courier New"/>
                <w:kern w:val="2"/>
                <w:sz w:val="21"/>
                <w:szCs w:val="21"/>
                <w:lang w:val="en-US" w:eastAsia="zh-CN" w:bidi="ar-SA"/>
              </w:rPr>
              <w:t>每提供人得2分，最高得10分。</w:t>
            </w:r>
            <w:r>
              <w:rPr>
                <w:rFonts w:hint="eastAsia" w:ascii="新宋体" w:hAnsi="新宋体" w:eastAsia="新宋体" w:cs="Courier New"/>
                <w:kern w:val="2"/>
                <w:sz w:val="21"/>
                <w:szCs w:val="21"/>
                <w:lang w:val="zh-TW" w:eastAsia="zh-TW" w:bidi="ar-SA"/>
              </w:rPr>
              <w:t>【注：须提供上述人员的职业技能等级证书复印件及技能人才评价证书全国联网查询系统上的查询截图（网址以http://zscx.osta.org.cn/为准，无提供或资料不齐全的，不得分。</w:t>
            </w:r>
          </w:p>
        </w:tc>
        <w:tc>
          <w:tcPr>
            <w:tcW w:w="1134" w:type="dxa"/>
            <w:tcBorders>
              <w:top w:val="single" w:color="auto" w:sz="4" w:space="0"/>
              <w:left w:val="single" w:color="auto" w:sz="4" w:space="0"/>
              <w:right w:val="single" w:color="auto" w:sz="4" w:space="0"/>
            </w:tcBorders>
            <w:vAlign w:val="center"/>
          </w:tcPr>
          <w:p w14:paraId="65866CA5">
            <w:pPr>
              <w:pStyle w:val="2"/>
              <w:spacing w:line="440" w:lineRule="exact"/>
              <w:ind w:firstLine="0"/>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r>
      <w:tr w14:paraId="485E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877" w:type="dxa"/>
            <w:vMerge w:val="restart"/>
            <w:tcBorders>
              <w:left w:val="single" w:color="auto" w:sz="4" w:space="0"/>
              <w:right w:val="single" w:color="auto" w:sz="4" w:space="0"/>
            </w:tcBorders>
            <w:vAlign w:val="center"/>
          </w:tcPr>
          <w:p w14:paraId="5E2CA45C">
            <w:pPr>
              <w:spacing w:line="288" w:lineRule="auto"/>
              <w:ind w:firstLine="105" w:firstLineChars="50"/>
              <w:rPr>
                <w:rFonts w:ascii="宋体" w:hAnsi="宋体"/>
                <w:szCs w:val="21"/>
              </w:rPr>
            </w:pPr>
            <w:r>
              <w:rPr>
                <w:rFonts w:hint="eastAsia" w:ascii="宋体" w:hAnsi="宋体"/>
                <w:szCs w:val="21"/>
              </w:rPr>
              <w:t>商务部分</w:t>
            </w:r>
          </w:p>
          <w:p w14:paraId="02DAFE29">
            <w:pPr>
              <w:spacing w:line="288" w:lineRule="auto"/>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w:t>
            </w:r>
            <w:r>
              <w:rPr>
                <w:rFonts w:hint="eastAsia" w:ascii="宋体" w:hAnsi="宋体"/>
                <w:szCs w:val="21"/>
              </w:rPr>
              <w:t>分）</w:t>
            </w:r>
          </w:p>
        </w:tc>
        <w:tc>
          <w:tcPr>
            <w:tcW w:w="1259" w:type="dxa"/>
            <w:tcBorders>
              <w:left w:val="single" w:color="auto" w:sz="4" w:space="0"/>
              <w:right w:val="single" w:color="auto" w:sz="4" w:space="0"/>
            </w:tcBorders>
            <w:vAlign w:val="center"/>
          </w:tcPr>
          <w:p w14:paraId="21143CEB">
            <w:pPr>
              <w:pStyle w:val="2"/>
              <w:spacing w:line="440" w:lineRule="exact"/>
              <w:ind w:left="101" w:leftChars="48" w:right="141" w:rightChars="67" w:firstLine="10" w:firstLineChars="5"/>
              <w:rPr>
                <w:rFonts w:ascii="宋体" w:hAnsi="宋体"/>
                <w:szCs w:val="21"/>
              </w:rPr>
            </w:pPr>
            <w:r>
              <w:rPr>
                <w:rFonts w:hint="eastAsia" w:ascii="宋体" w:hAnsi="宋体"/>
                <w:szCs w:val="21"/>
              </w:rPr>
              <w:t>同类项目业绩证明</w:t>
            </w:r>
          </w:p>
        </w:tc>
        <w:tc>
          <w:tcPr>
            <w:tcW w:w="678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8B449A">
            <w:pPr>
              <w:keepNext w:val="0"/>
              <w:keepLines w:val="0"/>
              <w:pageBreakBefore w:val="0"/>
              <w:kinsoku/>
              <w:overflowPunct/>
              <w:topLinePunct w:val="0"/>
              <w:autoSpaceDE/>
              <w:autoSpaceDN/>
              <w:bidi w:val="0"/>
              <w:adjustRightInd/>
              <w:snapToGrid/>
              <w:spacing w:line="240" w:lineRule="auto"/>
              <w:jc w:val="left"/>
              <w:textAlignment w:val="auto"/>
              <w:rPr>
                <w:rFonts w:hint="eastAsia" w:ascii="仿宋_GB2312" w:hAnsi="Times New Roman" w:eastAsia="宋体" w:cs="Times New Roman"/>
                <w:kern w:val="2"/>
                <w:sz w:val="21"/>
                <w:szCs w:val="20"/>
                <w:lang w:val="zh-CN" w:eastAsia="zh-CN" w:bidi="ar-SA"/>
              </w:rPr>
            </w:pPr>
            <w:r>
              <w:rPr>
                <w:rFonts w:hint="eastAsia" w:ascii="仿宋_GB2312" w:hAnsi="Times New Roman" w:eastAsia="宋体" w:cs="Times New Roman"/>
                <w:kern w:val="2"/>
                <w:sz w:val="21"/>
                <w:szCs w:val="20"/>
                <w:lang w:val="en-US" w:eastAsia="zh-CN" w:bidi="ar-SA"/>
              </w:rPr>
              <w:t>投标人</w:t>
            </w:r>
            <w:r>
              <w:rPr>
                <w:rFonts w:hint="eastAsia" w:ascii="仿宋_GB2312" w:hAnsi="Times New Roman" w:eastAsia="宋体" w:cs="Times New Roman"/>
                <w:kern w:val="2"/>
                <w:sz w:val="21"/>
                <w:szCs w:val="20"/>
                <w:lang w:val="en-US" w:eastAsia="zh-Hans" w:bidi="ar-SA"/>
              </w:rPr>
              <w:t>自</w:t>
            </w:r>
            <w:r>
              <w:rPr>
                <w:rFonts w:hint="eastAsia" w:ascii="仿宋_GB2312" w:hAnsi="Times New Roman" w:eastAsia="宋体" w:cs="Times New Roman"/>
                <w:kern w:val="2"/>
                <w:sz w:val="21"/>
                <w:szCs w:val="20"/>
                <w:lang w:val="zh-CN" w:eastAsia="zh-CN" w:bidi="ar-SA"/>
              </w:rPr>
              <w:t>20</w:t>
            </w:r>
            <w:r>
              <w:rPr>
                <w:rFonts w:hint="eastAsia" w:ascii="仿宋_GB2312" w:hAnsi="Times New Roman" w:eastAsia="宋体" w:cs="Times New Roman"/>
                <w:kern w:val="2"/>
                <w:sz w:val="21"/>
                <w:szCs w:val="20"/>
                <w:lang w:val="en-US" w:eastAsia="zh-CN" w:bidi="ar-SA"/>
              </w:rPr>
              <w:t>23</w:t>
            </w:r>
            <w:r>
              <w:rPr>
                <w:rFonts w:hint="eastAsia" w:ascii="仿宋_GB2312" w:hAnsi="Times New Roman" w:eastAsia="宋体" w:cs="Times New Roman"/>
                <w:kern w:val="2"/>
                <w:sz w:val="21"/>
                <w:szCs w:val="20"/>
                <w:lang w:val="zh-CN" w:eastAsia="zh-CN" w:bidi="ar-SA"/>
              </w:rPr>
              <w:t>年以来（以合同签订日期为准）已完成的或在服务的</w:t>
            </w:r>
            <w:r>
              <w:rPr>
                <w:rFonts w:hint="eastAsia" w:ascii="仿宋_GB2312" w:hAnsi="Times New Roman" w:eastAsia="宋体" w:cs="Times New Roman"/>
                <w:kern w:val="2"/>
                <w:sz w:val="21"/>
                <w:szCs w:val="20"/>
                <w:lang w:val="en-US" w:eastAsia="zh-CN" w:bidi="ar-SA"/>
              </w:rPr>
              <w:t>实验室维保服务相关项目的业绩</w:t>
            </w:r>
            <w:r>
              <w:rPr>
                <w:rFonts w:hint="eastAsia" w:ascii="仿宋_GB2312" w:hAnsi="Times New Roman" w:eastAsia="宋体" w:cs="Times New Roman"/>
                <w:kern w:val="2"/>
                <w:sz w:val="21"/>
                <w:szCs w:val="20"/>
                <w:lang w:val="zh-CN" w:eastAsia="zh-CN" w:bidi="ar-SA"/>
              </w:rPr>
              <w:t>，每提供一个得</w:t>
            </w:r>
            <w:r>
              <w:rPr>
                <w:rFonts w:hint="eastAsia" w:ascii="仿宋_GB2312" w:hAnsi="Times New Roman" w:eastAsia="宋体" w:cs="Times New Roman"/>
                <w:kern w:val="2"/>
                <w:sz w:val="21"/>
                <w:szCs w:val="20"/>
                <w:lang w:val="en-US" w:eastAsia="zh-CN" w:bidi="ar-SA"/>
              </w:rPr>
              <w:t>2</w:t>
            </w:r>
            <w:r>
              <w:rPr>
                <w:rFonts w:hint="eastAsia" w:ascii="仿宋_GB2312" w:hAnsi="Times New Roman" w:eastAsia="宋体" w:cs="Times New Roman"/>
                <w:kern w:val="2"/>
                <w:sz w:val="21"/>
                <w:szCs w:val="20"/>
                <w:lang w:val="zh-CN" w:eastAsia="zh-CN" w:bidi="ar-SA"/>
              </w:rPr>
              <w:t>分，最高得</w:t>
            </w:r>
            <w:r>
              <w:rPr>
                <w:rFonts w:hint="eastAsia" w:ascii="仿宋_GB2312" w:hAnsi="Times New Roman" w:eastAsia="宋体" w:cs="Times New Roman"/>
                <w:kern w:val="2"/>
                <w:sz w:val="21"/>
                <w:szCs w:val="20"/>
                <w:lang w:val="en-US" w:eastAsia="zh-CN" w:bidi="ar-SA"/>
              </w:rPr>
              <w:t>10</w:t>
            </w:r>
            <w:r>
              <w:rPr>
                <w:rFonts w:hint="eastAsia" w:ascii="仿宋_GB2312" w:hAnsi="Times New Roman" w:eastAsia="宋体" w:cs="Times New Roman"/>
                <w:kern w:val="2"/>
                <w:sz w:val="21"/>
                <w:szCs w:val="20"/>
                <w:lang w:val="zh-CN" w:eastAsia="zh-CN" w:bidi="ar-SA"/>
              </w:rPr>
              <w:t>分（同一单位只计一次分）。</w:t>
            </w:r>
          </w:p>
          <w:p w14:paraId="50E4CBE7">
            <w:pPr>
              <w:pStyle w:val="2"/>
              <w:spacing w:line="440" w:lineRule="exact"/>
              <w:ind w:firstLine="0" w:firstLineChars="0"/>
              <w:rPr>
                <w:rFonts w:ascii="宋体" w:hAnsi="宋体"/>
                <w:szCs w:val="21"/>
              </w:rPr>
            </w:pPr>
            <w:bookmarkStart w:id="0" w:name="_Toc18588"/>
            <w:r>
              <w:rPr>
                <w:rFonts w:hint="eastAsia" w:ascii="仿宋_GB2312" w:hAnsi="Times New Roman" w:eastAsia="宋体" w:cs="Times New Roman"/>
                <w:kern w:val="2"/>
                <w:sz w:val="21"/>
                <w:szCs w:val="20"/>
                <w:lang w:val="en-US" w:eastAsia="zh-Hans" w:bidi="ar-SA"/>
              </w:rPr>
              <w:t>【注：提供中标通知书、合同关键页复印件（需包含项目内容、签署双方单位名称、签署日期等内容），时间以合同签订时间为准，不提供不得分。】</w:t>
            </w:r>
            <w:bookmarkEnd w:id="0"/>
          </w:p>
        </w:tc>
        <w:tc>
          <w:tcPr>
            <w:tcW w:w="1134" w:type="dxa"/>
            <w:tcBorders>
              <w:left w:val="single" w:color="auto" w:sz="4" w:space="0"/>
              <w:right w:val="single" w:color="auto" w:sz="4" w:space="0"/>
            </w:tcBorders>
            <w:vAlign w:val="center"/>
          </w:tcPr>
          <w:p w14:paraId="0843C110">
            <w:pPr>
              <w:pStyle w:val="2"/>
              <w:spacing w:line="440" w:lineRule="exact"/>
              <w:ind w:firstLine="0" w:firstLineChars="0"/>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r>
      <w:tr w14:paraId="3A34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jc w:val="center"/>
        </w:trPr>
        <w:tc>
          <w:tcPr>
            <w:tcW w:w="877" w:type="dxa"/>
            <w:vMerge w:val="continue"/>
            <w:tcBorders>
              <w:left w:val="single" w:color="auto" w:sz="4" w:space="0"/>
              <w:right w:val="single" w:color="auto" w:sz="4" w:space="0"/>
            </w:tcBorders>
            <w:vAlign w:val="center"/>
          </w:tcPr>
          <w:p w14:paraId="49B09C57">
            <w:pPr>
              <w:spacing w:line="288" w:lineRule="auto"/>
              <w:jc w:val="center"/>
              <w:rPr>
                <w:rFonts w:ascii="宋体" w:hAnsi="宋体"/>
                <w:szCs w:val="21"/>
              </w:rPr>
            </w:pPr>
          </w:p>
        </w:tc>
        <w:tc>
          <w:tcPr>
            <w:tcW w:w="1259" w:type="dxa"/>
            <w:tcBorders>
              <w:left w:val="single" w:color="auto" w:sz="4" w:space="0"/>
              <w:right w:val="single" w:color="auto" w:sz="4" w:space="0"/>
            </w:tcBorders>
            <w:vAlign w:val="center"/>
          </w:tcPr>
          <w:p w14:paraId="139759D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企业认证</w:t>
            </w:r>
          </w:p>
          <w:p w14:paraId="18A4C434">
            <w:pPr>
              <w:pStyle w:val="2"/>
              <w:spacing w:line="440" w:lineRule="exact"/>
              <w:ind w:left="126" w:leftChars="60" w:right="141" w:rightChars="67" w:firstLine="0" w:firstLineChars="0"/>
              <w:rPr>
                <w:rFonts w:ascii="宋体" w:hAnsi="宋体"/>
                <w:szCs w:val="21"/>
              </w:rPr>
            </w:pPr>
          </w:p>
        </w:tc>
        <w:tc>
          <w:tcPr>
            <w:tcW w:w="678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E82703">
            <w:pPr>
              <w:pStyle w:val="6"/>
              <w:keepNext w:val="0"/>
              <w:keepLines w:val="0"/>
              <w:pageBreakBefore w:val="0"/>
              <w:widowControl w:val="0"/>
              <w:numPr>
                <w:ilvl w:val="0"/>
                <w:numId w:val="0"/>
              </w:numPr>
              <w:shd w:val="clear" w:color="auto" w:fill="auto"/>
              <w:tabs>
                <w:tab w:val="left" w:pos="317"/>
              </w:tabs>
              <w:kinsoku/>
              <w:wordWrap/>
              <w:overflowPunct/>
              <w:topLinePunct w:val="0"/>
              <w:autoSpaceDE/>
              <w:autoSpaceDN/>
              <w:bidi w:val="0"/>
              <w:adjustRightInd/>
              <w:snapToGrid/>
              <w:spacing w:before="0" w:after="0" w:line="240" w:lineRule="auto"/>
              <w:ind w:leftChars="0" w:right="0" w:rightChars="0"/>
              <w:jc w:val="left"/>
              <w:textAlignment w:val="auto"/>
              <w:rPr>
                <w:rFonts w:hint="eastAsia" w:ascii="仿宋_GB2312" w:hAnsi="Times New Roman" w:eastAsia="宋体" w:cs="Times New Roman"/>
                <w:kern w:val="2"/>
                <w:sz w:val="21"/>
                <w:szCs w:val="20"/>
                <w:lang w:val="en-US" w:eastAsia="zh-CN" w:bidi="ar-SA"/>
              </w:rPr>
            </w:pPr>
          </w:p>
          <w:p w14:paraId="559C26D7">
            <w:pPr>
              <w:pStyle w:val="6"/>
              <w:keepNext w:val="0"/>
              <w:keepLines w:val="0"/>
              <w:pageBreakBefore w:val="0"/>
              <w:widowControl w:val="0"/>
              <w:numPr>
                <w:ilvl w:val="0"/>
                <w:numId w:val="0"/>
              </w:numPr>
              <w:shd w:val="clear" w:color="auto" w:fill="auto"/>
              <w:tabs>
                <w:tab w:val="left" w:pos="317"/>
              </w:tabs>
              <w:kinsoku/>
              <w:wordWrap/>
              <w:overflowPunct/>
              <w:topLinePunct w:val="0"/>
              <w:autoSpaceDE/>
              <w:autoSpaceDN/>
              <w:bidi w:val="0"/>
              <w:adjustRightInd/>
              <w:snapToGrid/>
              <w:spacing w:before="0" w:after="0" w:line="240" w:lineRule="auto"/>
              <w:ind w:leftChars="0" w:right="0" w:rightChars="0"/>
              <w:jc w:val="left"/>
              <w:textAlignment w:val="auto"/>
              <w:rPr>
                <w:rFonts w:hint="eastAsia" w:ascii="仿宋_GB2312" w:hAnsi="Times New Roman" w:eastAsia="宋体" w:cs="Times New Roman"/>
                <w:kern w:val="2"/>
                <w:sz w:val="21"/>
                <w:szCs w:val="20"/>
                <w:lang w:val="en-US" w:eastAsia="zh-Hans" w:bidi="ar-SA"/>
              </w:rPr>
            </w:pPr>
            <w:r>
              <w:rPr>
                <w:rFonts w:hint="eastAsia" w:ascii="仿宋_GB2312" w:hAnsi="Times New Roman" w:eastAsia="宋体" w:cs="Times New Roman"/>
                <w:kern w:val="2"/>
                <w:sz w:val="21"/>
                <w:szCs w:val="20"/>
                <w:lang w:val="en-US" w:eastAsia="zh-CN" w:bidi="ar-SA"/>
              </w:rPr>
              <w:t>投标人</w:t>
            </w:r>
            <w:r>
              <w:rPr>
                <w:rFonts w:hint="eastAsia" w:ascii="仿宋_GB2312" w:hAnsi="Times New Roman" w:eastAsia="宋体" w:cs="Times New Roman"/>
                <w:kern w:val="2"/>
                <w:sz w:val="21"/>
                <w:szCs w:val="20"/>
                <w:lang w:val="en-US" w:eastAsia="zh-Hans" w:bidi="ar-SA"/>
              </w:rPr>
              <w:t>具有有效期内</w:t>
            </w:r>
            <w:r>
              <w:rPr>
                <w:rFonts w:hint="eastAsia" w:ascii="仿宋_GB2312" w:hAnsi="Times New Roman" w:eastAsia="宋体" w:cs="Times New Roman"/>
                <w:kern w:val="2"/>
                <w:sz w:val="21"/>
                <w:szCs w:val="20"/>
                <w:lang w:val="en-US" w:eastAsia="zh-CN" w:bidi="ar-SA"/>
              </w:rPr>
              <w:t>认证范围涵盖医疗</w:t>
            </w:r>
            <w:r>
              <w:rPr>
                <w:rFonts w:hint="eastAsia" w:ascii="仿宋_GB2312" w:hAnsi="Times New Roman" w:eastAsia="宋体" w:cs="Times New Roman"/>
                <w:kern w:val="2"/>
                <w:sz w:val="21"/>
                <w:szCs w:val="20"/>
                <w:lang w:val="en-US" w:eastAsia="zh-Hans" w:bidi="ar-SA"/>
              </w:rPr>
              <w:t>净化</w:t>
            </w:r>
            <w:r>
              <w:rPr>
                <w:rFonts w:hint="eastAsia" w:ascii="仿宋_GB2312" w:hAnsi="Times New Roman" w:eastAsia="宋体" w:cs="Times New Roman"/>
                <w:kern w:val="2"/>
                <w:sz w:val="21"/>
                <w:szCs w:val="20"/>
                <w:lang w:val="en-US" w:eastAsia="zh-CN" w:bidi="ar-SA"/>
              </w:rPr>
              <w:t>层流</w:t>
            </w:r>
            <w:r>
              <w:rPr>
                <w:rFonts w:hint="eastAsia" w:ascii="仿宋_GB2312" w:hAnsi="Times New Roman" w:eastAsia="宋体" w:cs="Times New Roman"/>
                <w:kern w:val="2"/>
                <w:sz w:val="21"/>
                <w:szCs w:val="20"/>
                <w:lang w:val="en-US" w:eastAsia="zh-Hans" w:bidi="ar-SA"/>
              </w:rPr>
              <w:t>系统的</w:t>
            </w:r>
            <w:r>
              <w:rPr>
                <w:rFonts w:hint="eastAsia" w:ascii="仿宋_GB2312" w:hAnsi="Times New Roman" w:eastAsia="宋体" w:cs="Times New Roman"/>
                <w:kern w:val="2"/>
                <w:sz w:val="21"/>
                <w:szCs w:val="20"/>
                <w:lang w:val="en-US" w:eastAsia="zh-CN" w:bidi="ar-SA"/>
              </w:rPr>
              <w:t>采购、安装及运行维护</w:t>
            </w:r>
            <w:r>
              <w:rPr>
                <w:rFonts w:hint="eastAsia" w:ascii="仿宋_GB2312" w:hAnsi="Times New Roman" w:eastAsia="宋体" w:cs="Times New Roman"/>
                <w:kern w:val="2"/>
                <w:sz w:val="21"/>
                <w:szCs w:val="20"/>
                <w:lang w:val="en-US" w:eastAsia="zh-Hans" w:bidi="ar-SA"/>
              </w:rPr>
              <w:t>服务</w:t>
            </w:r>
            <w:r>
              <w:rPr>
                <w:rFonts w:hint="eastAsia" w:ascii="仿宋_GB2312" w:hAnsi="Times New Roman" w:eastAsia="宋体" w:cs="Times New Roman"/>
                <w:kern w:val="2"/>
                <w:sz w:val="21"/>
                <w:szCs w:val="20"/>
                <w:lang w:val="en-US" w:eastAsia="zh-CN" w:bidi="ar-SA"/>
              </w:rPr>
              <w:t>范围</w:t>
            </w:r>
            <w:r>
              <w:rPr>
                <w:rFonts w:hint="eastAsia" w:ascii="仿宋_GB2312" w:hAnsi="Times New Roman" w:eastAsia="宋体" w:cs="Times New Roman"/>
                <w:kern w:val="2"/>
                <w:sz w:val="21"/>
                <w:szCs w:val="20"/>
                <w:lang w:val="en-US" w:eastAsia="zh-Hans" w:bidi="ar-SA"/>
              </w:rPr>
              <w:t>的质量管理体系认证、环境管理体系认证、职业健康安全管理体系认证，每提供1个得</w:t>
            </w:r>
            <w:r>
              <w:rPr>
                <w:rFonts w:hint="eastAsia" w:ascii="仿宋_GB2312" w:hAnsi="Times New Roman" w:cs="Times New Roman"/>
                <w:kern w:val="2"/>
                <w:sz w:val="21"/>
                <w:szCs w:val="20"/>
                <w:lang w:val="en-US" w:eastAsia="zh-CN" w:bidi="ar-SA"/>
              </w:rPr>
              <w:t>2</w:t>
            </w:r>
            <w:r>
              <w:rPr>
                <w:rFonts w:hint="eastAsia" w:ascii="仿宋_GB2312" w:hAnsi="Times New Roman" w:eastAsia="宋体" w:cs="Times New Roman"/>
                <w:kern w:val="2"/>
                <w:sz w:val="21"/>
                <w:szCs w:val="20"/>
                <w:lang w:val="en-US" w:eastAsia="zh-Hans" w:bidi="ar-SA"/>
              </w:rPr>
              <w:t>分，</w:t>
            </w:r>
            <w:r>
              <w:rPr>
                <w:rFonts w:hint="eastAsia" w:ascii="仿宋_GB2312" w:hAnsi="Times New Roman" w:eastAsia="宋体" w:cs="Times New Roman"/>
                <w:kern w:val="2"/>
                <w:sz w:val="21"/>
                <w:szCs w:val="20"/>
                <w:lang w:val="en-US" w:eastAsia="zh-CN" w:bidi="ar-SA"/>
              </w:rPr>
              <w:t>最高得</w:t>
            </w:r>
            <w:r>
              <w:rPr>
                <w:rFonts w:hint="eastAsia" w:ascii="仿宋_GB2312" w:hAnsi="Times New Roman" w:cs="Times New Roman"/>
                <w:kern w:val="2"/>
                <w:sz w:val="21"/>
                <w:szCs w:val="20"/>
                <w:lang w:val="en-US" w:eastAsia="zh-CN" w:bidi="ar-SA"/>
              </w:rPr>
              <w:t>6</w:t>
            </w:r>
            <w:r>
              <w:rPr>
                <w:rFonts w:hint="eastAsia" w:ascii="仿宋_GB2312" w:hAnsi="Times New Roman" w:eastAsia="宋体" w:cs="Times New Roman"/>
                <w:kern w:val="2"/>
                <w:sz w:val="21"/>
                <w:szCs w:val="20"/>
                <w:lang w:val="en-US" w:eastAsia="zh-CN" w:bidi="ar-SA"/>
              </w:rPr>
              <w:t>分</w:t>
            </w:r>
            <w:r>
              <w:rPr>
                <w:rFonts w:hint="eastAsia" w:ascii="仿宋_GB2312" w:hAnsi="Times New Roman" w:eastAsia="宋体" w:cs="Times New Roman"/>
                <w:kern w:val="2"/>
                <w:sz w:val="21"/>
                <w:szCs w:val="20"/>
                <w:lang w:val="en-US" w:eastAsia="zh-Hans" w:bidi="ar-SA"/>
              </w:rPr>
              <w:t>。</w:t>
            </w:r>
          </w:p>
          <w:p w14:paraId="1C0B5EDC">
            <w:pPr>
              <w:pStyle w:val="7"/>
              <w:spacing w:line="446" w:lineRule="exact"/>
              <w:ind w:firstLine="0" w:firstLineChars="0"/>
              <w:rPr>
                <w:rFonts w:ascii="宋体" w:hAnsi="宋体"/>
                <w:szCs w:val="21"/>
              </w:rPr>
            </w:pPr>
          </w:p>
        </w:tc>
        <w:tc>
          <w:tcPr>
            <w:tcW w:w="1134" w:type="dxa"/>
            <w:tcBorders>
              <w:left w:val="single" w:color="auto" w:sz="4" w:space="0"/>
              <w:right w:val="single" w:color="auto" w:sz="4" w:space="0"/>
            </w:tcBorders>
            <w:vAlign w:val="center"/>
          </w:tcPr>
          <w:p w14:paraId="4B4CE21B">
            <w:pPr>
              <w:autoSpaceDE w:val="0"/>
              <w:autoSpaceDN w:val="0"/>
              <w:spacing w:line="288" w:lineRule="auto"/>
              <w:jc w:val="center"/>
              <w:rPr>
                <w:rFonts w:ascii="宋体" w:hAnsi="宋体"/>
                <w:szCs w:val="21"/>
              </w:rPr>
            </w:pPr>
            <w:r>
              <w:rPr>
                <w:rFonts w:hint="eastAsia" w:ascii="宋体" w:hAnsi="宋体"/>
                <w:szCs w:val="21"/>
                <w:lang w:val="en-US" w:eastAsia="zh-CN"/>
              </w:rPr>
              <w:t>6</w:t>
            </w:r>
            <w:r>
              <w:rPr>
                <w:rFonts w:hint="eastAsia" w:ascii="宋体" w:hAnsi="宋体"/>
                <w:szCs w:val="21"/>
              </w:rPr>
              <w:t>分</w:t>
            </w:r>
          </w:p>
        </w:tc>
      </w:tr>
      <w:tr w14:paraId="4BAD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3" w:hRule="atLeast"/>
          <w:jc w:val="center"/>
        </w:trPr>
        <w:tc>
          <w:tcPr>
            <w:tcW w:w="877" w:type="dxa"/>
            <w:vMerge w:val="continue"/>
            <w:tcBorders>
              <w:left w:val="single" w:color="auto" w:sz="4" w:space="0"/>
              <w:right w:val="single" w:color="auto" w:sz="4" w:space="0"/>
            </w:tcBorders>
            <w:vAlign w:val="center"/>
          </w:tcPr>
          <w:p w14:paraId="10EA9D81">
            <w:pPr>
              <w:spacing w:line="288" w:lineRule="auto"/>
              <w:jc w:val="center"/>
              <w:rPr>
                <w:rFonts w:ascii="宋体" w:hAnsi="宋体"/>
                <w:szCs w:val="21"/>
              </w:rPr>
            </w:pPr>
          </w:p>
        </w:tc>
        <w:tc>
          <w:tcPr>
            <w:tcW w:w="1259" w:type="dxa"/>
            <w:tcBorders>
              <w:left w:val="single" w:color="auto" w:sz="4" w:space="0"/>
              <w:right w:val="single" w:color="auto" w:sz="4" w:space="0"/>
            </w:tcBorders>
            <w:vAlign w:val="center"/>
          </w:tcPr>
          <w:p w14:paraId="69521D7D">
            <w:pPr>
              <w:pStyle w:val="2"/>
              <w:spacing w:line="440" w:lineRule="exact"/>
              <w:ind w:left="0" w:leftChars="0" w:right="141" w:rightChars="67" w:firstLine="0" w:firstLineChars="0"/>
              <w:jc w:val="left"/>
              <w:rPr>
                <w:rFonts w:ascii="宋体" w:hAnsi="宋体"/>
                <w:szCs w:val="21"/>
              </w:rPr>
            </w:pPr>
            <w:r>
              <w:rPr>
                <w:rFonts w:hint="eastAsia" w:ascii="宋体" w:hAnsi="宋体"/>
                <w:szCs w:val="21"/>
              </w:rPr>
              <w:t>投标人的资金保障能力</w:t>
            </w:r>
          </w:p>
        </w:tc>
        <w:tc>
          <w:tcPr>
            <w:tcW w:w="678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F19FCA">
            <w:pPr>
              <w:spacing w:line="360" w:lineRule="auto"/>
              <w:rPr>
                <w:rFonts w:hint="eastAsia" w:eastAsia="宋体" w:cs="宋体"/>
                <w:kern w:val="0"/>
                <w:szCs w:val="21"/>
                <w:lang w:eastAsia="zh-CN"/>
              </w:rPr>
            </w:pPr>
            <w:r>
              <w:rPr>
                <w:rFonts w:hint="eastAsia" w:cs="宋体"/>
                <w:kern w:val="0"/>
                <w:szCs w:val="21"/>
              </w:rPr>
              <w:t>投标人</w:t>
            </w:r>
            <w:r>
              <w:rPr>
                <w:rFonts w:cs="宋体"/>
                <w:kern w:val="0"/>
                <w:szCs w:val="21"/>
              </w:rPr>
              <w:t>提供</w:t>
            </w:r>
            <w:r>
              <w:rPr>
                <w:rFonts w:hint="eastAsia" w:ascii="宋体" w:hAnsi="宋体" w:cs="宋体"/>
                <w:bCs/>
              </w:rPr>
              <w:t>提供</w:t>
            </w:r>
            <w:r>
              <w:rPr>
                <w:rFonts w:hint="eastAsia" w:ascii="宋体" w:hAnsi="宋体" w:cs="宋体"/>
                <w:bCs/>
                <w:color w:val="000000"/>
              </w:rPr>
              <w:t>20</w:t>
            </w:r>
            <w:r>
              <w:rPr>
                <w:rFonts w:hint="eastAsia" w:ascii="宋体" w:hAnsi="宋体" w:cs="宋体"/>
                <w:bCs/>
                <w:color w:val="000000"/>
                <w:lang w:val="en-US" w:eastAsia="zh-CN"/>
              </w:rPr>
              <w:t>25</w:t>
            </w:r>
            <w:r>
              <w:rPr>
                <w:rFonts w:hint="eastAsia" w:ascii="宋体" w:hAnsi="宋体" w:cs="宋体"/>
                <w:bCs/>
                <w:color w:val="000000"/>
              </w:rPr>
              <w:t>年度</w:t>
            </w:r>
            <w:r>
              <w:rPr>
                <w:rFonts w:hint="eastAsia" w:ascii="宋体" w:hAnsi="宋体" w:cs="宋体"/>
                <w:bCs/>
              </w:rPr>
              <w:t>经会计师事务所审计的财务报表或当地税务部门盖章的纳税申报表</w:t>
            </w:r>
            <w:r>
              <w:rPr>
                <w:rFonts w:hint="eastAsia" w:ascii="宋体" w:hAnsi="宋体" w:cs="宋体"/>
                <w:bCs/>
                <w:lang w:val="en-US" w:eastAsia="zh-CN"/>
              </w:rPr>
              <w:t>(查看资产总额）</w:t>
            </w:r>
            <w:r>
              <w:rPr>
                <w:rFonts w:hint="eastAsia" w:ascii="宋体" w:hAnsi="宋体" w:cs="宋体"/>
                <w:bCs/>
                <w:lang w:eastAsia="zh-CN"/>
              </w:rPr>
              <w:t>。</w:t>
            </w:r>
          </w:p>
          <w:p w14:paraId="54A8FDF0">
            <w:pPr>
              <w:widowControl/>
              <w:spacing w:line="360" w:lineRule="auto"/>
              <w:jc w:val="left"/>
              <w:rPr>
                <w:rFonts w:cs="宋体"/>
                <w:kern w:val="0"/>
                <w:szCs w:val="21"/>
              </w:rPr>
            </w:pPr>
            <w:r>
              <w:rPr>
                <w:rFonts w:ascii="宋体" w:hAnsi="宋体" w:cs="宋体"/>
                <w:bCs/>
              </w:rPr>
              <w:t>≥</w:t>
            </w:r>
            <w:r>
              <w:rPr>
                <w:rFonts w:hint="eastAsia" w:ascii="宋体" w:hAnsi="宋体" w:cs="宋体"/>
                <w:bCs/>
                <w:lang w:val="en-US" w:eastAsia="zh-CN"/>
              </w:rPr>
              <w:t>5</w:t>
            </w:r>
            <w:r>
              <w:rPr>
                <w:rFonts w:hint="eastAsia" w:ascii="宋体" w:hAnsi="宋体" w:cs="宋体"/>
                <w:bCs/>
              </w:rPr>
              <w:t>000万以上</w:t>
            </w:r>
            <w:r>
              <w:rPr>
                <w:rFonts w:cs="宋体"/>
                <w:kern w:val="0"/>
                <w:szCs w:val="21"/>
              </w:rPr>
              <w:t>：</w:t>
            </w:r>
            <w:r>
              <w:rPr>
                <w:rFonts w:hint="eastAsia" w:cs="宋体"/>
                <w:kern w:val="0"/>
                <w:szCs w:val="21"/>
                <w:lang w:val="en-US" w:eastAsia="zh-CN"/>
              </w:rPr>
              <w:t>4</w:t>
            </w:r>
            <w:r>
              <w:rPr>
                <w:rFonts w:cs="宋体"/>
                <w:kern w:val="0"/>
                <w:szCs w:val="21"/>
              </w:rPr>
              <w:t>分；</w:t>
            </w:r>
          </w:p>
          <w:p w14:paraId="78E11887">
            <w:pPr>
              <w:widowControl/>
              <w:spacing w:line="360" w:lineRule="auto"/>
              <w:jc w:val="left"/>
              <w:rPr>
                <w:rFonts w:cs="宋体"/>
                <w:kern w:val="0"/>
                <w:szCs w:val="21"/>
              </w:rPr>
            </w:pPr>
            <w:r>
              <w:rPr>
                <w:rFonts w:hint="eastAsia" w:ascii="宋体" w:hAnsi="宋体" w:cs="宋体"/>
                <w:bCs/>
              </w:rPr>
              <w:t>大于等于</w:t>
            </w:r>
            <w:r>
              <w:rPr>
                <w:rFonts w:hint="eastAsia" w:ascii="宋体" w:hAnsi="宋体" w:cs="宋体"/>
                <w:bCs/>
                <w:lang w:val="en-US" w:eastAsia="zh-CN"/>
              </w:rPr>
              <w:t>2</w:t>
            </w:r>
            <w:r>
              <w:rPr>
                <w:rFonts w:hint="eastAsia" w:ascii="宋体" w:hAnsi="宋体" w:cs="宋体"/>
                <w:bCs/>
              </w:rPr>
              <w:t>000万小于</w:t>
            </w:r>
            <w:r>
              <w:rPr>
                <w:rFonts w:hint="eastAsia" w:ascii="宋体" w:hAnsi="宋体" w:cs="宋体"/>
                <w:bCs/>
                <w:lang w:val="en-US" w:eastAsia="zh-CN"/>
              </w:rPr>
              <w:t>5</w:t>
            </w:r>
            <w:r>
              <w:rPr>
                <w:rFonts w:hint="eastAsia" w:ascii="宋体" w:hAnsi="宋体" w:cs="宋体"/>
                <w:bCs/>
              </w:rPr>
              <w:t>000万</w:t>
            </w:r>
            <w:r>
              <w:rPr>
                <w:rFonts w:cs="宋体"/>
                <w:kern w:val="0"/>
                <w:szCs w:val="21"/>
              </w:rPr>
              <w:t>：</w:t>
            </w:r>
            <w:r>
              <w:rPr>
                <w:rFonts w:hint="eastAsia" w:cs="宋体"/>
                <w:kern w:val="0"/>
                <w:szCs w:val="21"/>
                <w:lang w:val="en-US" w:eastAsia="zh-CN"/>
              </w:rPr>
              <w:t>2</w:t>
            </w:r>
            <w:r>
              <w:rPr>
                <w:rFonts w:cs="宋体"/>
                <w:kern w:val="0"/>
                <w:szCs w:val="21"/>
              </w:rPr>
              <w:t>分；</w:t>
            </w:r>
          </w:p>
          <w:p w14:paraId="6F2E3A82">
            <w:pPr>
              <w:pStyle w:val="7"/>
              <w:spacing w:line="360" w:lineRule="auto"/>
              <w:ind w:firstLine="0" w:firstLineChars="0"/>
              <w:rPr>
                <w:rFonts w:ascii="仿宋_GB2312"/>
              </w:rPr>
            </w:pPr>
            <w:r>
              <w:rPr>
                <w:rFonts w:hint="eastAsia" w:ascii="宋体" w:hAnsi="宋体" w:cs="宋体"/>
                <w:bCs/>
              </w:rPr>
              <w:t>＜</w:t>
            </w:r>
            <w:r>
              <w:rPr>
                <w:rFonts w:hint="eastAsia" w:ascii="宋体" w:hAnsi="宋体" w:cs="宋体"/>
                <w:bCs/>
                <w:lang w:val="en-US" w:eastAsia="zh-CN"/>
              </w:rPr>
              <w:t>2</w:t>
            </w:r>
            <w:r>
              <w:rPr>
                <w:rFonts w:hint="eastAsia" w:ascii="宋体" w:hAnsi="宋体" w:cs="宋体"/>
                <w:bCs/>
              </w:rPr>
              <w:t>000万</w:t>
            </w:r>
            <w:r>
              <w:rPr>
                <w:rFonts w:cs="宋体"/>
                <w:kern w:val="0"/>
                <w:szCs w:val="21"/>
              </w:rPr>
              <w:t>：</w:t>
            </w:r>
            <w:r>
              <w:rPr>
                <w:rFonts w:hint="eastAsia" w:cs="宋体"/>
                <w:kern w:val="0"/>
                <w:szCs w:val="21"/>
                <w:lang w:val="en-US" w:eastAsia="zh-CN"/>
              </w:rPr>
              <w:t>1</w:t>
            </w:r>
            <w:r>
              <w:rPr>
                <w:rFonts w:cs="宋体"/>
                <w:kern w:val="0"/>
                <w:szCs w:val="21"/>
              </w:rPr>
              <w:t>分；</w:t>
            </w:r>
          </w:p>
        </w:tc>
        <w:tc>
          <w:tcPr>
            <w:tcW w:w="1134" w:type="dxa"/>
            <w:tcBorders>
              <w:left w:val="single" w:color="auto" w:sz="4" w:space="0"/>
              <w:right w:val="single" w:color="auto" w:sz="4" w:space="0"/>
            </w:tcBorders>
            <w:vAlign w:val="center"/>
          </w:tcPr>
          <w:p w14:paraId="6D283512">
            <w:pPr>
              <w:autoSpaceDE w:val="0"/>
              <w:autoSpaceDN w:val="0"/>
              <w:spacing w:line="288" w:lineRule="auto"/>
              <w:jc w:val="center"/>
              <w:rPr>
                <w:rFonts w:ascii="宋体" w:hAnsi="宋体"/>
                <w:szCs w:val="21"/>
              </w:rPr>
            </w:pPr>
            <w:r>
              <w:rPr>
                <w:rFonts w:hint="eastAsia" w:ascii="宋体" w:hAnsi="宋体"/>
                <w:szCs w:val="21"/>
                <w:lang w:val="en-US" w:eastAsia="zh-CN"/>
              </w:rPr>
              <w:t>4</w:t>
            </w:r>
            <w:r>
              <w:rPr>
                <w:rFonts w:hint="eastAsia" w:ascii="宋体" w:hAnsi="宋体"/>
                <w:szCs w:val="21"/>
              </w:rPr>
              <w:t>分</w:t>
            </w:r>
          </w:p>
        </w:tc>
      </w:tr>
    </w:tbl>
    <w:p w14:paraId="72B696EA">
      <w:pPr>
        <w:numPr>
          <w:ilvl w:val="0"/>
          <w:numId w:val="0"/>
        </w:numPr>
        <w:jc w:val="left"/>
        <w:rPr>
          <w:rFonts w:hint="default"/>
          <w:b/>
          <w:bCs/>
          <w:sz w:val="28"/>
          <w:szCs w:val="36"/>
          <w:lang w:val="en-US" w:eastAsia="zh-CN"/>
        </w:rPr>
      </w:pPr>
    </w:p>
    <w:p w14:paraId="20A458E0">
      <w:pPr>
        <w:numPr>
          <w:ilvl w:val="0"/>
          <w:numId w:val="0"/>
        </w:numPr>
        <w:jc w:val="left"/>
        <w:rPr>
          <w:rFonts w:hint="eastAsia"/>
          <w:b/>
          <w:bCs/>
          <w:sz w:val="28"/>
          <w:szCs w:val="36"/>
          <w:lang w:val="en-US" w:eastAsia="zh-CN"/>
        </w:rPr>
      </w:pPr>
    </w:p>
    <w:p w14:paraId="3118A080">
      <w:pPr>
        <w:numPr>
          <w:ilvl w:val="0"/>
          <w:numId w:val="0"/>
        </w:numPr>
        <w:jc w:val="left"/>
        <w:rPr>
          <w:rFonts w:hint="eastAsia"/>
          <w:b/>
          <w:bCs/>
          <w:sz w:val="28"/>
          <w:szCs w:val="36"/>
          <w:lang w:val="en-US" w:eastAsia="zh-CN"/>
        </w:rPr>
      </w:pPr>
    </w:p>
    <w:p w14:paraId="61204767">
      <w:pPr>
        <w:numPr>
          <w:ilvl w:val="0"/>
          <w:numId w:val="0"/>
        </w:numPr>
        <w:jc w:val="left"/>
        <w:rPr>
          <w:rFonts w:hint="eastAsia"/>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07A85"/>
    <w:multiLevelType w:val="singleLevel"/>
    <w:tmpl w:val="EF807A85"/>
    <w:lvl w:ilvl="0" w:tentative="0">
      <w:start w:val="1"/>
      <w:numFmt w:val="decimal"/>
      <w:suff w:val="nothing"/>
      <w:lvlText w:val="%1、"/>
      <w:lvlJc w:val="left"/>
    </w:lvl>
  </w:abstractNum>
  <w:abstractNum w:abstractNumId="1">
    <w:nsid w:val="478C19E4"/>
    <w:multiLevelType w:val="singleLevel"/>
    <w:tmpl w:val="478C19E4"/>
    <w:lvl w:ilvl="0" w:tentative="0">
      <w:start w:val="1"/>
      <w:numFmt w:val="decimal"/>
      <w:suff w:val="nothing"/>
      <w:lvlText w:val="%1、"/>
      <w:lvlJc w:val="left"/>
    </w:lvl>
  </w:abstractNum>
  <w:abstractNum w:abstractNumId="2">
    <w:nsid w:val="51C3C4CB"/>
    <w:multiLevelType w:val="singleLevel"/>
    <w:tmpl w:val="51C3C4C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ZGY1ZTQ4OGJmY2IwYWQ4MmE5Zjk0NjM5MTNjMDEifQ=="/>
  </w:docVars>
  <w:rsids>
    <w:rsidRoot w:val="00000000"/>
    <w:rsid w:val="0DED154B"/>
    <w:rsid w:val="0E0B38F0"/>
    <w:rsid w:val="0F784FB5"/>
    <w:rsid w:val="11026EC6"/>
    <w:rsid w:val="1A9D1D74"/>
    <w:rsid w:val="1AD52E1E"/>
    <w:rsid w:val="1D0460DA"/>
    <w:rsid w:val="259D70CC"/>
    <w:rsid w:val="2B1A1C68"/>
    <w:rsid w:val="347E36F4"/>
    <w:rsid w:val="3F8E1B07"/>
    <w:rsid w:val="429D02B3"/>
    <w:rsid w:val="443B7D84"/>
    <w:rsid w:val="4517434D"/>
    <w:rsid w:val="49793CEA"/>
    <w:rsid w:val="4BA042F3"/>
    <w:rsid w:val="4C912C37"/>
    <w:rsid w:val="4D8233CA"/>
    <w:rsid w:val="4ECC61A8"/>
    <w:rsid w:val="4FE63299"/>
    <w:rsid w:val="5A364E1D"/>
    <w:rsid w:val="5AAC39D0"/>
    <w:rsid w:val="5C125416"/>
    <w:rsid w:val="5F8B64CB"/>
    <w:rsid w:val="688957D7"/>
    <w:rsid w:val="6BBC155B"/>
    <w:rsid w:val="6BFF1513"/>
    <w:rsid w:val="79200D1B"/>
    <w:rsid w:val="7B7C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Plain Text"/>
    <w:basedOn w:val="1"/>
    <w:qFormat/>
    <w:uiPriority w:val="0"/>
    <w:rPr>
      <w:rFonts w:ascii="宋体" w:hAnsi="Courier New" w:cs="Courier New"/>
      <w:szCs w:val="21"/>
    </w:rPr>
  </w:style>
  <w:style w:type="paragraph" w:customStyle="1" w:styleId="6">
    <w:name w:val="Other|1"/>
    <w:basedOn w:val="1"/>
    <w:qFormat/>
    <w:uiPriority w:val="0"/>
    <w:pPr>
      <w:keepNext w:val="0"/>
      <w:keepLines w:val="0"/>
      <w:widowControl w:val="0"/>
      <w:suppressLineNumbers w:val="0"/>
      <w:spacing w:before="0" w:beforeAutospacing="0" w:after="0" w:afterAutospacing="0" w:line="420" w:lineRule="auto"/>
      <w:ind w:left="0" w:right="0" w:firstLine="360"/>
      <w:jc w:val="left"/>
    </w:pPr>
    <w:rPr>
      <w:rFonts w:hint="eastAsia" w:ascii="宋体" w:hAnsi="宋体" w:eastAsia="宋体" w:cs="宋体"/>
      <w:kern w:val="0"/>
      <w:sz w:val="18"/>
      <w:szCs w:val="18"/>
      <w:lang w:val="en-US" w:eastAsia="zh-CN" w:bidi="ar"/>
    </w:rPr>
  </w:style>
  <w:style w:type="paragraph" w:customStyle="1" w:styleId="7">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Words>
  <Characters>158</Characters>
  <Lines>0</Lines>
  <Paragraphs>0</Paragraphs>
  <TotalTime>3</TotalTime>
  <ScaleCrop>false</ScaleCrop>
  <LinksUpToDate>false</LinksUpToDate>
  <CharactersWithSpaces>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袁嘉瑜</cp:lastModifiedBy>
  <cp:lastPrinted>2018-08-03T00:02:00Z</cp:lastPrinted>
  <dcterms:modified xsi:type="dcterms:W3CDTF">2026-04-03T02:15:17Z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1444768E399144F782C6423B28328250</vt:lpwstr>
  </property>
  <property fmtid="{D5CDD505-2E9C-101B-9397-08002B2CF9AE}" pid="4" name="KSOTemplateDocerSaveRecord">
    <vt:lpwstr>eyJoZGlkIjoiZmQwYTg1Zjk5YTM4NzlkNzBiMjk1ZTVlNWY5MGM2MTQiLCJ1c2VySWQiOiI1NzMxNjcxMzkifQ==</vt:lpwstr>
  </property>
</Properties>
</file>