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DC42">
      <w:pPr>
        <w:pStyle w:val="3"/>
        <w:keepNext w:val="0"/>
        <w:keepLines w:val="0"/>
        <w:pageBreakBefore w:val="0"/>
        <w:spacing w:before="120" w:after="200" w:line="256" w:lineRule="auto"/>
        <w:jc w:val="center"/>
        <w:outlineLvl w:val="0"/>
      </w:pPr>
      <w:r>
        <w:rPr>
          <w:rFonts w:ascii="微软雅黑" w:hAnsi="微软雅黑" w:eastAsia="微软雅黑" w:cs="微软雅黑"/>
          <w:b/>
          <w:color w:val="000000"/>
          <w:sz w:val="36"/>
        </w:rPr>
        <w:t>电泳成像仪</w:t>
      </w:r>
      <w:r>
        <w:rPr>
          <w:rFonts w:hint="eastAsia" w:cs="微软雅黑"/>
          <w:b/>
          <w:color w:val="000000"/>
          <w:sz w:val="36"/>
          <w:lang w:val="en-US" w:eastAsia="zh-CN"/>
        </w:rPr>
        <w:t>论证</w:t>
      </w:r>
      <w:r>
        <w:rPr>
          <w:rFonts w:ascii="微软雅黑" w:hAnsi="微软雅黑" w:eastAsia="微软雅黑" w:cs="微软雅黑"/>
          <w:b/>
          <w:color w:val="000000"/>
          <w:sz w:val="36"/>
        </w:rPr>
        <w:t>参数要求</w:t>
      </w:r>
    </w:p>
    <w:p w14:paraId="6DFEE7B1">
      <w:pPr>
        <w:pStyle w:val="4"/>
        <w:keepNext w:val="0"/>
        <w:keepLines w:val="0"/>
        <w:pageBreakBefore w:val="0"/>
        <w:pBdr>
          <w:bottom w:val="single" w:color="DDDDDD" w:sz="6" w:space="1"/>
        </w:pBdr>
        <w:spacing w:before="150" w:after="10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一、硬件与机箱系统</w:t>
      </w:r>
    </w:p>
    <w:p w14:paraId="5277B39D">
      <w:pPr>
        <w:pStyle w:val="14"/>
        <w:numPr>
          <w:ilvl w:val="0"/>
          <w:numId w:val="7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一体式防静电抗干扰机箱，具备防撞防漏光设计，保障操作安全。</w:t>
      </w:r>
    </w:p>
    <w:p w14:paraId="091B6A87">
      <w:pPr>
        <w:pStyle w:val="14"/>
        <w:numPr>
          <w:ilvl w:val="0"/>
          <w:numId w:val="7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全自动电动进样与升降平台，支持多档位高度调节与自动对焦，最大成像视野≥20×25cm。</w:t>
      </w:r>
    </w:p>
    <w:p w14:paraId="63F620F4">
      <w:pPr>
        <w:pStyle w:val="14"/>
        <w:numPr>
          <w:ilvl w:val="0"/>
          <w:numId w:val="7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具备开门自动关闭紫外/蓝光光源的安全联动功能，配置紫外/蓝光观察防护板，支持安全切胶操作。</w:t>
      </w:r>
    </w:p>
    <w:p w14:paraId="43FCC453">
      <w:pPr>
        <w:pStyle w:val="4"/>
        <w:keepNext w:val="0"/>
        <w:keepLines w:val="0"/>
        <w:pageBreakBefore w:val="0"/>
        <w:pBdr>
          <w:bottom w:val="single" w:color="DDDDDD" w:sz="6" w:space="1"/>
        </w:pBdr>
        <w:spacing w:before="150" w:after="10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二、成像与光学系统</w:t>
      </w:r>
    </w:p>
    <w:p w14:paraId="62162807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采用科研级制冷CCD相机，物理有效像素≥600万，图像分辨率≥600DPI。</w:t>
      </w:r>
    </w:p>
    <w:p w14:paraId="46709F72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相机深度制冷温度≤-50℃（绝对温度）或低于室温60℃，具备高量子效率、低暗电流特性。</w:t>
      </w:r>
    </w:p>
    <w:p w14:paraId="1BCC5C9C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图像深度≥16bit（0-65535灰阶），支持1x1至24x24及以上像素合并（Binning）模式。</w:t>
      </w:r>
    </w:p>
    <w:p w14:paraId="5B046ADB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配备F0.95及以上大光圈全自动高分辨率镜头，支持电动调焦与光圈调整。</w:t>
      </w:r>
    </w:p>
    <w:p w14:paraId="7606B032">
      <w:pPr>
        <w:pStyle w:val="14"/>
        <w:numPr>
          <w:ilvl w:val="0"/>
          <w:numId w:val="8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全自动电动滤光片轮，孔位≥6个，标配红、绿、蓝多色荧光成像专用窄带带通滤光片。</w:t>
      </w:r>
    </w:p>
    <w:p w14:paraId="721BD47A">
      <w:pPr>
        <w:pStyle w:val="4"/>
        <w:keepNext w:val="0"/>
        <w:keepLines w:val="0"/>
        <w:pageBreakBefore w:val="0"/>
        <w:pBdr>
          <w:bottom w:val="single" w:color="DDDDDD" w:sz="6" w:space="1"/>
        </w:pBdr>
        <w:spacing w:before="150" w:after="10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三、光源系统</w:t>
      </w:r>
    </w:p>
    <w:p w14:paraId="7C555590">
      <w:pPr>
        <w:pStyle w:val="14"/>
        <w:numPr>
          <w:ilvl w:val="0"/>
          <w:numId w:val="9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标配300-365nm紫外透射、470nm蓝光透射及白光透射光源，光强多级可调。</w:t>
      </w:r>
    </w:p>
    <w:p w14:paraId="0448E2A3">
      <w:pPr>
        <w:pStyle w:val="14"/>
        <w:numPr>
          <w:ilvl w:val="0"/>
          <w:numId w:val="9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配置反射白光及红、绿、蓝（RGB）多色LED反射荧光光源，光强多级可调，支持多通道荧光成像。</w:t>
      </w:r>
    </w:p>
    <w:p w14:paraId="44F72C7A">
      <w:pPr>
        <w:pStyle w:val="4"/>
        <w:keepNext w:val="0"/>
        <w:keepLines w:val="0"/>
        <w:pageBreakBefore w:val="0"/>
        <w:pBdr>
          <w:bottom w:val="single" w:color="DDDDDD" w:sz="6" w:space="1"/>
        </w:pBdr>
        <w:spacing w:before="150" w:after="10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四、操控与智能分析软件</w:t>
      </w:r>
    </w:p>
    <w:p w14:paraId="4AAD9BF6">
      <w:pPr>
        <w:pStyle w:val="14"/>
        <w:numPr>
          <w:ilvl w:val="0"/>
          <w:numId w:val="10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内置≥10英寸液晶触摸屏，搭载四核及以上处理器、≥8G内存、≥500G固态硬盘。</w:t>
      </w:r>
    </w:p>
    <w:p w14:paraId="6B91524A">
      <w:pPr>
        <w:pStyle w:val="14"/>
        <w:numPr>
          <w:ilvl w:val="0"/>
          <w:numId w:val="10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支持USB、网口等数据传输方式，具备中英双语操作界面。</w:t>
      </w:r>
    </w:p>
    <w:p w14:paraId="7669F4C2">
      <w:pPr>
        <w:pStyle w:val="14"/>
        <w:numPr>
          <w:ilvl w:val="0"/>
          <w:numId w:val="10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配备紫外、白光、蓝光及多色荧光应用托盘，系统可自动识别托盘类型并匹配对应拍摄参数。</w:t>
      </w:r>
    </w:p>
    <w:p w14:paraId="7F2AF646">
      <w:pPr>
        <w:pStyle w:val="14"/>
        <w:numPr>
          <w:ilvl w:val="0"/>
          <w:numId w:val="10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内置智能光补偿与平场校正算法，可自动优化图像背景均匀度。</w:t>
      </w:r>
    </w:p>
    <w:p w14:paraId="6702787F">
      <w:pPr>
        <w:pStyle w:val="14"/>
        <w:numPr>
          <w:ilvl w:val="0"/>
          <w:numId w:val="10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软件支持图像自动备份功能，内置泳道条带自动识别、光密度计算、分子量评估等分析模块。</w:t>
      </w:r>
    </w:p>
    <w:p w14:paraId="526BEDA4">
      <w:pPr>
        <w:pStyle w:val="14"/>
        <w:numPr>
          <w:ilvl w:val="0"/>
          <w:numId w:val="10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分析结果可直接导出至Excel格式，满足数据后续处理需求。</w:t>
      </w:r>
    </w:p>
    <w:p w14:paraId="169CF082">
      <w:pPr>
        <w:pStyle w:val="4"/>
        <w:keepNext w:val="0"/>
        <w:keepLines w:val="0"/>
        <w:pageBreakBefore w:val="0"/>
        <w:pBdr>
          <w:bottom w:val="single" w:color="DDDDDD" w:sz="6" w:space="1"/>
        </w:pBdr>
        <w:spacing w:before="150" w:after="10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五、蛋白电泳转印系统</w:t>
      </w:r>
    </w:p>
    <w:p w14:paraId="227998BF">
      <w:pPr>
        <w:pStyle w:val="14"/>
        <w:numPr>
          <w:ilvl w:val="0"/>
          <w:numId w:val="11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支持同时运行2块凝胶，兼容常规蛋白电泳实验需求。</w:t>
      </w:r>
    </w:p>
    <w:p w14:paraId="6130B329">
      <w:pPr>
        <w:pStyle w:val="14"/>
        <w:numPr>
          <w:ilvl w:val="0"/>
          <w:numId w:val="11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输出电压调节范围10-300V，调节步进≤1V。</w:t>
      </w:r>
    </w:p>
    <w:p w14:paraId="771D6327">
      <w:pPr>
        <w:pStyle w:val="14"/>
        <w:numPr>
          <w:ilvl w:val="0"/>
          <w:numId w:val="11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输出电流调节范围4-400mA，调节步进≤1mA。</w:t>
      </w:r>
    </w:p>
    <w:p w14:paraId="1F1BC344">
      <w:pPr>
        <w:pStyle w:val="14"/>
        <w:numPr>
          <w:ilvl w:val="0"/>
          <w:numId w:val="11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定时功能可调范围0-16小时，调节步进≤1分钟，支持非定时持续输出模式。</w:t>
      </w:r>
    </w:p>
    <w:p w14:paraId="0D2D2EDF">
      <w:pPr>
        <w:pStyle w:val="14"/>
        <w:numPr>
          <w:ilvl w:val="0"/>
          <w:numId w:val="11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可同时连接≥4个电泳槽，满足多组实验并行开展需求。</w:t>
      </w:r>
    </w:p>
    <w:p w14:paraId="2F94A215">
      <w:pPr>
        <w:pStyle w:val="14"/>
        <w:numPr>
          <w:ilvl w:val="0"/>
          <w:numId w:val="11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具备自动无负载输出保护功能，未接负载时自动停止电压输出。</w:t>
      </w:r>
    </w:p>
    <w:p w14:paraId="09C83DFA">
      <w:pPr>
        <w:pStyle w:val="14"/>
        <w:numPr>
          <w:ilvl w:val="0"/>
          <w:numId w:val="11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具备自动过载和短路保护功能，保障设备运行安全。</w:t>
      </w:r>
    </w:p>
    <w:p w14:paraId="5E04B129">
      <w:pPr>
        <w:pStyle w:val="4"/>
        <w:keepNext w:val="0"/>
        <w:keepLines w:val="0"/>
        <w:pageBreakBefore w:val="0"/>
        <w:pBdr>
          <w:bottom w:val="single" w:color="DDDDDD" w:sz="6" w:space="1"/>
        </w:pBdr>
        <w:spacing w:before="150" w:after="10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六、标准配置要求</w:t>
      </w:r>
    </w:p>
    <w:p w14:paraId="57C5F09D">
      <w:pPr>
        <w:pStyle w:val="14"/>
        <w:numPr>
          <w:ilvl w:val="0"/>
          <w:numId w:val="12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成像系统主机1台。</w:t>
      </w:r>
    </w:p>
    <w:p w14:paraId="0CA717E6">
      <w:pPr>
        <w:pStyle w:val="14"/>
        <w:numPr>
          <w:ilvl w:val="0"/>
          <w:numId w:val="12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样品成像托盘≥4个/组，覆盖不同实验场景需求。</w:t>
      </w:r>
    </w:p>
    <w:p w14:paraId="3ACB5B6C">
      <w:pPr>
        <w:pStyle w:val="14"/>
        <w:numPr>
          <w:ilvl w:val="0"/>
          <w:numId w:val="12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图像拍摄及专业数据分析软件1套，含终身基础版本升级权限。</w:t>
      </w:r>
    </w:p>
    <w:p w14:paraId="5DCA886E">
      <w:pPr>
        <w:pStyle w:val="14"/>
        <w:numPr>
          <w:ilvl w:val="0"/>
          <w:numId w:val="12"/>
        </w:numPr>
        <w:spacing w:after="80" w:line="256" w:lineRule="auto"/>
        <w:ind w:left="840" w:hanging="360"/>
      </w:pPr>
      <w:bookmarkStart w:id="0" w:name="_GoBack"/>
      <w:bookmarkEnd w:id="0"/>
      <w:r>
        <w:rPr>
          <w:rFonts w:ascii="微软雅黑" w:hAnsi="微软雅黑" w:eastAsia="微软雅黑" w:cs="微软雅黑"/>
          <w:color w:val="333333"/>
          <w:sz w:val="24"/>
        </w:rPr>
        <w:t>配置WB电泳槽、WB转移电泳槽、WB电泳仪各1台。</w:t>
      </w:r>
    </w:p>
    <w:p w14:paraId="586A3B50">
      <w:pPr>
        <w:pStyle w:val="14"/>
        <w:numPr>
          <w:ilvl w:val="0"/>
          <w:numId w:val="12"/>
        </w:numPr>
        <w:spacing w:after="80" w:line="256" w:lineRule="auto"/>
        <w:ind w:left="840" w:hanging="360"/>
      </w:pPr>
      <w:r>
        <w:rPr>
          <w:rFonts w:ascii="微软雅黑" w:hAnsi="微软雅黑" w:eastAsia="微软雅黑" w:cs="微软雅黑"/>
          <w:color w:val="333333"/>
          <w:sz w:val="24"/>
        </w:rPr>
        <w:t>配套实验附件1套，包含制胶、电泳、转印全流程所需耗材夹具。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4"/>
    </w:lvlOverride>
  </w:num>
  <w:num w:numId="9">
    <w:abstractNumId w:val="4"/>
    <w:lvlOverride w:ilvl="0">
      <w:startOverride w:val="9"/>
    </w:lvlOverride>
  </w:num>
  <w:num w:numId="10">
    <w:abstractNumId w:val="4"/>
    <w:lvlOverride w:ilvl="0">
      <w:startOverride w:val="11"/>
    </w:lvlOverride>
  </w:num>
  <w:num w:numId="11">
    <w:abstractNumId w:val="4"/>
    <w:lvlOverride w:ilvl="0">
      <w:startOverride w:val="17"/>
    </w:lvlOverride>
  </w:num>
  <w:num w:numId="12">
    <w:abstractNumId w:val="4"/>
    <w:lvlOverride w:ilvl="0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93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1012</Characters>
  <Lines>0</Lines>
  <Paragraphs>0</Paragraphs>
  <TotalTime>0</TotalTime>
  <ScaleCrop>false</ScaleCrop>
  <LinksUpToDate>false</LinksUpToDate>
  <CharactersWithSpaces>1012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袁嘉瑜</cp:lastModifiedBy>
  <dcterms:modified xsi:type="dcterms:W3CDTF">2026-03-30T07:01:23Z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eyJoZGlkIjoiZmQwYTg1Zjk5YTM4NzlkNzBiMjk1ZTVlNWY5MGM2MTQiLCJ1c2VySWQiOiI1NzMxNjcxMzkifQ==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F5CDC1BAF9114176806B542A685536DA_12</vt:lpwstr>
  </property>
</Properties>
</file>