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F8AEC">
      <w:pPr>
        <w:pStyle w:val="2"/>
      </w:pPr>
      <w:r>
        <w:t>口腔颌面锥形束计算机体层摄影论证参数要求</w:t>
      </w:r>
    </w:p>
    <w:p w14:paraId="66ADC7D5">
      <w:pPr>
        <w:pStyle w:val="4"/>
      </w:pPr>
      <w:r>
        <w:t>一、设备及功能需求</w:t>
      </w:r>
    </w:p>
    <w:p w14:paraId="2C9925C0">
      <w:pPr>
        <w:pStyle w:val="5"/>
      </w:pPr>
      <w:r>
        <w:t>（一）设备用途</w:t>
      </w:r>
    </w:p>
    <w:p w14:paraId="0F1BA092">
      <w:r>
        <w:t>用于口腔疾病诊断，具备数字全景成像、头颅成像、3D成像、模型扫描功能，搭配临床观察软件与图像后处理功能。</w:t>
      </w:r>
    </w:p>
    <w:p w14:paraId="420404D2">
      <w:pPr>
        <w:pStyle w:val="5"/>
      </w:pPr>
      <w:r>
        <w:t>（二）拍摄模式</w:t>
      </w:r>
    </w:p>
    <w:p w14:paraId="20F2BD74">
      <w:r>
        <w:t>拥有CT、全景、头颅正/侧位、TMJ、小牙片和局部CT独立拍摄模式，采用原生独立成像，非CT切出断层或融合数据。</w:t>
      </w:r>
    </w:p>
    <w:p w14:paraId="5858B808">
      <w:pPr>
        <w:pStyle w:val="5"/>
      </w:pPr>
      <w:r>
        <w:t>（三）配套设备</w:t>
      </w:r>
    </w:p>
    <w:p w14:paraId="333E6BDD">
      <w:r>
        <w:t>提供工作站一套。</w:t>
      </w:r>
    </w:p>
    <w:p w14:paraId="3CDDCA62">
      <w:pPr>
        <w:pStyle w:val="4"/>
      </w:pPr>
      <w:r>
        <w:t>二、硬件技术指标</w:t>
      </w:r>
    </w:p>
    <w:p w14:paraId="64A04235">
      <w:pPr>
        <w:pStyle w:val="5"/>
      </w:pPr>
      <w:r>
        <w:t>（一）X射线球管技术参数</w:t>
      </w:r>
    </w:p>
    <w:p w14:paraId="5BA2DCF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CBCT曝光方式</w:t>
      </w:r>
      <w:r>
        <w:t>：CBCT扫描采用脉冲曝光。</w:t>
      </w:r>
    </w:p>
    <w:p w14:paraId="636BDBA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射线管电流</w:t>
      </w:r>
      <w:r>
        <w:t>：最大电流≥10mA，电流值可调，步进值≤0.5mA；口内摄影电流≥5mA。</w:t>
      </w:r>
    </w:p>
    <w:p w14:paraId="0A89588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射线管电压</w:t>
      </w:r>
      <w:r>
        <w:t>：最大电压≥100kV，电压值可调，步进值≤1kV；口内摄影电压≥65kV。</w:t>
      </w:r>
    </w:p>
    <w:p w14:paraId="5257ECCE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焦点尺寸</w:t>
      </w:r>
      <w:r>
        <w:t>：CT≤0.5mm×0.5mm；口内摄影≤0.4mm×0.4mm。</w:t>
      </w:r>
    </w:p>
    <w:p w14:paraId="377EF5FF">
      <w:pPr>
        <w:pStyle w:val="5"/>
      </w:pPr>
      <w:r>
        <w:t>（二）射源装置参数</w:t>
      </w:r>
    </w:p>
    <w:p w14:paraId="442EE2AC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曝光时间</w:t>
      </w:r>
      <w:r>
        <w:t>：CT扫描曝光时间≤20s。</w:t>
      </w:r>
    </w:p>
    <w:p w14:paraId="4AE812FE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球管热容量</w:t>
      </w:r>
      <w:r>
        <w:t>：≥360kJ。</w:t>
      </w:r>
    </w:p>
    <w:p w14:paraId="56B3980A">
      <w:pPr>
        <w:pStyle w:val="5"/>
      </w:pPr>
      <w:r>
        <w:t>（三）探测器技术参数</w:t>
      </w:r>
    </w:p>
    <w:p w14:paraId="6B659A5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探测器配置</w:t>
      </w:r>
      <w:r>
        <w:t>：数量≥2，全景拍摄和CT扫描模式下探测器自动切换，无需手动拆装；拍摄头侧时无需拆卸平板探测器。</w:t>
      </w:r>
    </w:p>
    <w:p w14:paraId="78D1A17B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CT探测器</w:t>
      </w:r>
      <w:r>
        <w:t>：面积≥15cm×15cm，像素尺寸≤100μm。</w:t>
      </w:r>
    </w:p>
    <w:p w14:paraId="5B599AD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正/侧位探测器</w:t>
      </w:r>
      <w:r>
        <w:t>：尺寸≥20cm×0.5cm，像素尺寸≤100μm。</w:t>
      </w:r>
    </w:p>
    <w:p w14:paraId="45757D06">
      <w:pPr>
        <w:pStyle w:val="5"/>
      </w:pPr>
      <w:r>
        <w:t>（四）图像性能</w:t>
      </w:r>
    </w:p>
    <w:p w14:paraId="5C28953C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成像视野</w:t>
      </w:r>
      <w:r>
        <w:t>：CT有效成像视野≥15cm×10cm(Φ×H)，一次拍摄成像，非融合数据；局部CT成像视野≤5×8cm(Φ×H)。</w:t>
      </w:r>
    </w:p>
    <w:p w14:paraId="1F8641D6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图像输出</w:t>
      </w:r>
      <w:r>
        <w:t>：一次拍摄最大DICOM张数≥1000张，灰阶≥16bit。</w:t>
      </w:r>
    </w:p>
    <w:p w14:paraId="023E63C3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体素与分辨率</w:t>
      </w:r>
      <w:r>
        <w:t>：最小体素尺寸≤45μm；CT成像空间分辨率≥2.5p/mm，全景成像空间分辨率≥3p/mm。</w:t>
      </w:r>
    </w:p>
    <w:p w14:paraId="26678B1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影像尺寸</w:t>
      </w:r>
      <w:r>
        <w:t>：全景图像高度≥10cm；侧位成像宽度≥200mm，高度≥180mm。</w:t>
      </w:r>
    </w:p>
    <w:p w14:paraId="12AE4C9B">
      <w:pPr>
        <w:pStyle w:val="5"/>
      </w:pPr>
      <w:r>
        <w:t>（五）整机性能</w:t>
      </w:r>
    </w:p>
    <w:p w14:paraId="5025DCA8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立柱升降</w:t>
      </w:r>
      <w:r>
        <w:t>：行程≥700mm，适配不同人群拍摄需求。</w:t>
      </w:r>
    </w:p>
    <w:p w14:paraId="49C3DB0B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保护装置</w:t>
      </w:r>
      <w:r>
        <w:t>：具备行程自动保护装置。</w:t>
      </w:r>
    </w:p>
    <w:p w14:paraId="13F5508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底座设计</w:t>
      </w:r>
      <w:r>
        <w:t>：采用U型底座，方便轮椅进入。</w:t>
      </w:r>
    </w:p>
    <w:p w14:paraId="07FA4AB3">
      <w:pPr>
        <w:pStyle w:val="4"/>
      </w:pPr>
      <w:r>
        <w:t>三、软件功能要求</w:t>
      </w:r>
    </w:p>
    <w:p w14:paraId="02FF41BB">
      <w:pPr>
        <w:pStyle w:val="5"/>
      </w:pPr>
      <w:r>
        <w:t>（一）基础配置</w:t>
      </w:r>
    </w:p>
    <w:p w14:paraId="3A7B5B92">
      <w:r>
        <w:t>提供数字化影像浏览软件1套、正畸分析系统1套，支持终身免费升级。</w:t>
      </w:r>
    </w:p>
    <w:p w14:paraId="521E457D">
      <w:pPr>
        <w:pStyle w:val="5"/>
      </w:pPr>
      <w:r>
        <w:t>（二）影像处理</w:t>
      </w:r>
    </w:p>
    <w:p w14:paraId="4F9C2CC5">
      <w:r>
        <w:t>具备影像降噪技术和去伪影算法，提升图像质量。</w:t>
      </w:r>
    </w:p>
    <w:p w14:paraId="11D78D14">
      <w:pPr>
        <w:pStyle w:val="5"/>
      </w:pPr>
      <w:r>
        <w:t>（三）测量与分析</w:t>
      </w:r>
    </w:p>
    <w:p w14:paraId="45F94CE2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多维测量</w:t>
      </w:r>
      <w:r>
        <w:t>：支持距离、多线段、曲线、角度测量，以及直方图统计、面积测量，测量方案可保存并自动加载。</w:t>
      </w:r>
    </w:p>
    <w:p w14:paraId="13FFDD2E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区域处理</w:t>
      </w:r>
      <w:r>
        <w:t>：提供垂直裁切、曲线裁切等多种感兴趣区域裁切方式。</w:t>
      </w:r>
    </w:p>
    <w:p w14:paraId="4D481ADC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多平面重建</w:t>
      </w:r>
      <w:r>
        <w:t>：支持任意位置、任意方向观察患者切片影像。</w:t>
      </w:r>
    </w:p>
    <w:p w14:paraId="0EC85FB8">
      <w:pPr>
        <w:pStyle w:val="5"/>
      </w:pPr>
      <w:r>
        <w:t>（四）三维可视化</w:t>
      </w:r>
    </w:p>
    <w:p w14:paraId="6464A98D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显示模式</w:t>
      </w:r>
      <w:r>
        <w:t>：三维视图支持VR（容积漫游成像）、MIP（最大密度投影）两种模式。</w:t>
      </w:r>
    </w:p>
    <w:p w14:paraId="33EF66EF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全景联动</w:t>
      </w:r>
      <w:r>
        <w:t>：实现全景影像三维化展示，拖动观察窗口可联动显示对应区域轴状面、矢状面、冠状面影像。</w:t>
      </w:r>
    </w:p>
    <w:p w14:paraId="0625529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定向观察</w:t>
      </w:r>
      <w:r>
        <w:t>：可在三维视图中以任意点为中心，360度定向旋转观察，辅助判断牙体及组织位置关系。</w:t>
      </w:r>
    </w:p>
    <w:p w14:paraId="07D306AA">
      <w:pPr>
        <w:pStyle w:val="5"/>
      </w:pPr>
      <w:r>
        <w:t>（五）专科模块</w:t>
      </w:r>
    </w:p>
    <w:p w14:paraId="0BC3E9B8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颞颌关节</w:t>
      </w:r>
      <w:r>
        <w:t>：独立CBCT颞颌关节观察模块，自动定位双侧关节位置，呈现2D、3D影像，支持多角度切片观察。</w:t>
      </w:r>
    </w:p>
    <w:p w14:paraId="71D798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虚拟种植</w:t>
      </w:r>
      <w:r>
        <w:t>：提供丰富种植体库，添加种植体可自动带出牙冠，支持调整牙冠大小和角度，显示个性化基台高度和角度；支持种植体周围骨密度测量，显示D1-D4分类；具备三维头模定向功能，辅助确定植体旋转朝向；种植体库可升级，品牌无数量限制。</w:t>
      </w:r>
    </w:p>
    <w:p w14:paraId="2CC39E35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正畸功能</w:t>
      </w:r>
      <w:r>
        <w:t>：预设三维正畸模块，支持标志点标记与微调，导出三维头影测量分析报告；智能正畸测量分析系统可自动标记分析标志点、，提供</w:t>
      </w:r>
      <w:r>
        <w:rPr>
          <w:rFonts w:hint="eastAsia"/>
          <w:lang w:val="en-US" w:eastAsia="zh-CN"/>
        </w:rPr>
        <w:t>多种</w:t>
      </w:r>
      <w:r>
        <w:t>测量分析方法，支持自定义分析法；支持可视化矫正模拟，预测正畸前后侧貌改变；可自动识别全景片牙齿轮廓、缺失牙及智齿，输出健康报告；支持正貌及侧貌照片自动定点测量分析，输出面部美学报告；通过侧位片进行颈椎骨龄自动分析，辅助评估生长发育情况。</w:t>
      </w:r>
    </w:p>
    <w:p w14:paraId="491C8B2F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气道分析</w:t>
      </w:r>
      <w:r>
        <w:t>：智能气道分析可分段量化气道容积、面积数据，自动显示狭窄范围，计算最小横截面面积。</w:t>
      </w:r>
    </w:p>
    <w:p w14:paraId="2A4B7648">
      <w:pPr>
        <w:pStyle w:val="5"/>
      </w:pPr>
      <w:r>
        <w:t>（六）高级功能</w:t>
      </w:r>
    </w:p>
    <w:p w14:paraId="05FB6C4B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智能标记与分割</w:t>
      </w:r>
      <w:r>
        <w:t>：</w:t>
      </w:r>
      <w:r>
        <w:rPr>
          <w:rFonts w:hint="eastAsia"/>
          <w:lang w:val="en-US" w:eastAsia="zh-CN"/>
        </w:rPr>
        <w:t>可</w:t>
      </w:r>
      <w:r>
        <w:t>一键自动生成双侧神经管，设置模型颜色、半径及碰撞检测阈值，支持二维、三维视图显示；自动分割牙体数据，生成牙齿模型并标注牙位、牙长轴信息，支持三维髓腔观察，可控制单颗牙齿显隐、旋转及平移，量化移动数据并导出；自动分割下颌骨模型，进行三维距离及体积测量计算，导出分析报告。</w:t>
      </w:r>
    </w:p>
    <w:p w14:paraId="2C804F31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数据配准</w:t>
      </w:r>
      <w:r>
        <w:t>：3D影像可与口扫数据自动配准，辅助椅旁正畸方案及种植手术导板设计制作。</w:t>
      </w:r>
    </w:p>
    <w:p w14:paraId="6846C5DD">
      <w:pPr>
        <w:pStyle w:val="5"/>
      </w:pPr>
      <w:r>
        <w:t>（七）数据管理与输出</w:t>
      </w:r>
    </w:p>
    <w:p w14:paraId="32A7B8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云平台</w:t>
      </w:r>
      <w:r>
        <w:t>：提供口腔科预约、分诊、接诊、治疗、收费、随访等功能，直连影像设备，支持云端阅片，实现手机端与电脑端数据共享。</w:t>
      </w:r>
    </w:p>
    <w:p w14:paraId="595C553A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数据导出</w:t>
      </w:r>
      <w:r>
        <w:t>：支持将患者数据和影像浏览程序刻录至光碟、U盘等介质；支持DICOM3.0设备打印胶片，排版后可导出BMP图片；具备数据输出接口，兼容DICOM3.0标准PACS系统。</w:t>
      </w:r>
    </w:p>
    <w:p w14:paraId="77E9C8F5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打印排版</w:t>
      </w:r>
      <w:r>
        <w:t>：打印页面布局可自定义调整，预设10种以上打印布局，支持不同打印尺寸选择。</w:t>
      </w:r>
    </w:p>
    <w:p w14:paraId="484B5B92">
      <w:pPr>
        <w:numPr>
          <w:ilvl w:val="0"/>
          <w:numId w:val="0"/>
        </w:numPr>
        <w:spacing w:before="0" w:beforeAutospacing="1" w:after="0" w:afterAutospacing="1"/>
        <w:ind w:leftChars="200"/>
        <w:rPr>
          <w:rFonts w:hint="default" w:eastAsia="微软雅黑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★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八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该项目为交钥匙工程需包含机房改造装修及设备预评、控评、环评所有费用。</w:t>
      </w:r>
      <w:bookmarkStart w:id="0" w:name="_GoBack"/>
      <w:bookmarkEnd w:id="0"/>
    </w:p>
    <w:p w14:paraId="4D472E3D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ED0FE"/>
    <w:multiLevelType w:val="singleLevel"/>
    <w:tmpl w:val="A64ED0F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BFF56126"/>
    <w:multiLevelType w:val="singleLevel"/>
    <w:tmpl w:val="BFF5612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BFFEB803"/>
    <w:multiLevelType w:val="singleLevel"/>
    <w:tmpl w:val="BFFEB80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E7FF3B06"/>
    <w:multiLevelType w:val="singleLevel"/>
    <w:tmpl w:val="E7FF3B0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F7BAC790"/>
    <w:multiLevelType w:val="singleLevel"/>
    <w:tmpl w:val="F7BAC790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FBF84992"/>
    <w:multiLevelType w:val="singleLevel"/>
    <w:tmpl w:val="FBF8499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FEF33A38"/>
    <w:multiLevelType w:val="singleLevel"/>
    <w:tmpl w:val="FEF33A38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FF7F6B3B"/>
    <w:multiLevelType w:val="singleLevel"/>
    <w:tmpl w:val="FF7F6B3B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FFFF0005"/>
    <w:multiLevelType w:val="singleLevel"/>
    <w:tmpl w:val="FFFF0005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9">
    <w:nsid w:val="FFFF3942"/>
    <w:multiLevelType w:val="singleLevel"/>
    <w:tmpl w:val="FFFF394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1">
    <w:nsid w:val="757E4562"/>
    <w:multiLevelType w:val="singleLevel"/>
    <w:tmpl w:val="757E4562"/>
    <w:lvl w:ilvl="0" w:tentative="0">
      <w:start w:val="3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6D7100B"/>
    <w:rsid w:val="06FC22B9"/>
    <w:rsid w:val="0AE0655C"/>
    <w:rsid w:val="0DB8556E"/>
    <w:rsid w:val="15B64A89"/>
    <w:rsid w:val="17872A04"/>
    <w:rsid w:val="17DFC7E3"/>
    <w:rsid w:val="1A5F56EF"/>
    <w:rsid w:val="1DE33F41"/>
    <w:rsid w:val="1F070103"/>
    <w:rsid w:val="259C15A5"/>
    <w:rsid w:val="27CD64A0"/>
    <w:rsid w:val="31C37EBA"/>
    <w:rsid w:val="37050677"/>
    <w:rsid w:val="38D330D8"/>
    <w:rsid w:val="3C2123AD"/>
    <w:rsid w:val="3FEA17AB"/>
    <w:rsid w:val="410B542B"/>
    <w:rsid w:val="427B35B9"/>
    <w:rsid w:val="435B43F6"/>
    <w:rsid w:val="44BE727C"/>
    <w:rsid w:val="45B00A41"/>
    <w:rsid w:val="4BDA60D4"/>
    <w:rsid w:val="4C934C01"/>
    <w:rsid w:val="4FD75668"/>
    <w:rsid w:val="504F35C5"/>
    <w:rsid w:val="51FD2B1C"/>
    <w:rsid w:val="5426635A"/>
    <w:rsid w:val="545D5AF4"/>
    <w:rsid w:val="54902503"/>
    <w:rsid w:val="55426F5C"/>
    <w:rsid w:val="56D71B8E"/>
    <w:rsid w:val="585D4798"/>
    <w:rsid w:val="5C0056E3"/>
    <w:rsid w:val="608E59B3"/>
    <w:rsid w:val="61D75138"/>
    <w:rsid w:val="6401649C"/>
    <w:rsid w:val="653F53AC"/>
    <w:rsid w:val="65907A54"/>
    <w:rsid w:val="666F1DE3"/>
    <w:rsid w:val="6A2D474B"/>
    <w:rsid w:val="6C2E1DF8"/>
    <w:rsid w:val="6CFD7AE5"/>
    <w:rsid w:val="6D877A12"/>
    <w:rsid w:val="6FA05612"/>
    <w:rsid w:val="746069B8"/>
    <w:rsid w:val="7EEB2912"/>
    <w:rsid w:val="7EEC216D"/>
    <w:rsid w:val="B6BC56FB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1737</Words>
  <Characters>1905</Characters>
  <Lines>12</Lines>
  <Paragraphs>8</Paragraphs>
  <TotalTime>84</TotalTime>
  <ScaleCrop>false</ScaleCrop>
  <LinksUpToDate>false</LinksUpToDate>
  <CharactersWithSpaces>1905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袁嘉瑜</cp:lastModifiedBy>
  <dcterms:modified xsi:type="dcterms:W3CDTF">2026-01-14T10:28:10Z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EB22748D619D7BD37BEB6669BA5D2E1B_43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