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B96FA"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E2FF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用户需求书</w:t>
      </w:r>
    </w:p>
    <w:p w14:paraId="441A646D">
      <w:pPr>
        <w:spacing w:after="0" w:line="560" w:lineRule="exact"/>
        <w:outlineLvl w:val="0"/>
        <w:rPr>
          <w:rFonts w:hint="eastAsia" w:ascii="仿宋" w:hAnsi="仿宋" w:eastAsia="仿宋" w:cs="方正黑体简体"/>
          <w:sz w:val="28"/>
          <w:szCs w:val="28"/>
        </w:rPr>
      </w:pPr>
    </w:p>
    <w:p w14:paraId="6AB5E55E">
      <w:pPr>
        <w:spacing w:after="0" w:line="560" w:lineRule="exact"/>
        <w:ind w:firstLine="640" w:firstLineChars="200"/>
        <w:outlineLvl w:val="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项目的名称、用途和服务期</w:t>
      </w:r>
    </w:p>
    <w:p w14:paraId="74CD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3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1.项目名称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江门市五邑中医院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2026至2027年除四害及白蚁防治服务采购项目</w:t>
      </w:r>
    </w:p>
    <w:p w14:paraId="04FDB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2.用途：</w:t>
      </w:r>
      <w:r>
        <w:rPr>
          <w:rFonts w:hint="eastAsia" w:ascii="仿宋" w:hAnsi="仿宋" w:eastAsia="仿宋" w:cs="仿宋"/>
          <w:sz w:val="32"/>
          <w:szCs w:val="32"/>
        </w:rPr>
        <w:t>确定江门市五邑中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医院除四害及灭白蚁服务资格</w:t>
      </w:r>
    </w:p>
    <w:p w14:paraId="75737726">
      <w:pPr>
        <w:spacing w:after="0" w:line="560" w:lineRule="exact"/>
        <w:ind w:firstLine="643" w:firstLineChars="20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3.服务期限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个月。</w:t>
      </w:r>
    </w:p>
    <w:p w14:paraId="75AD5208">
      <w:pPr>
        <w:spacing w:after="0" w:line="560" w:lineRule="exact"/>
        <w:ind w:firstLine="640" w:firstLineChars="200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服务内容及要求</w:t>
      </w:r>
    </w:p>
    <w:p w14:paraId="41A09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服务单位须严格按照《中华人民共和国传染病防治法》、《广东省病媒生物预防控制管理规定》等国家及地方相关法律法规的要求，为我院提供包括灭蝇、灭蟑螂、灭鼠、灭跳蚤、灭蚊和灭白蚁在内的综合性虫害防治服务。</w:t>
      </w:r>
    </w:p>
    <w:p w14:paraId="5C68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2.服务人员要求：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上岗服务人员要严格遵守灭鼠杀虫技术操作规程，文明作业，填写《服务记录单》并经我院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后勤保卫科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签名确认。服务人员须穿着工作服、佩戴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工作证件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进场服务。</w:t>
      </w:r>
    </w:p>
    <w:p w14:paraId="4E25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3.药物要求：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所使用的灭鼠杀虫药物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须符合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国家规定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“三证”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齐全，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或使用全国或市爱卫会专家委员会推荐和认可的药物，严禁使用急性灭鼠药或其他明文禁用药物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如因药物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不当引起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事故，服务单位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须承担全部责任。</w:t>
      </w:r>
    </w:p>
    <w:p w14:paraId="2EABE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4.服务单位应按照以下频次安排专业人员至我院实施消杀作业：虫害高峰期（每年4月至10月）：每月4次，全年共计28次；虫害低峰期（每年11月至次年3月）：每月2次，全年共计10次；全年总消杀次数为38次。</w:t>
      </w:r>
    </w:p>
    <w:p w14:paraId="03E99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5.服务范围覆盖全院各区域，包括各楼宇所有楼层、院内绿化带、下水道、停车场、路面、食堂等。特殊区域（如血透室、手术室等）必须停诊，期间另行预约上门服务。</w:t>
      </w:r>
    </w:p>
    <w:p w14:paraId="6E445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蚊虫高发期间，每月至少加强2次对全院地下车库、绿化带及下水渠口等重点区域进行灭蚊处理，并每季度实施2次热烟雾消杀。特殊情况下或疾控部门的防控要求，需增加消杀频次。医院方发现→通知→临时来院处理。</w:t>
      </w:r>
    </w:p>
    <w:p w14:paraId="1E450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白蚁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：每月现场巡查，白蚁分飞期5-6月增加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巡查次数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，重点范围设置监控诱箱，定期检查、监控蚁情诱杀白蚁。对重点位置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外墙沉缝、伸缩缝、杂物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堆放处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暗潮湿卫生间等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采用药物喷杀和埋箱引杀法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达到整巢消白蚁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的效果。</w:t>
      </w:r>
    </w:p>
    <w:p w14:paraId="188B3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8.灭鼠服务：根据实际情况投置药物并保持饱和状态，发现鼠迹及时补充药物并做清理，所有毒鼠屋标识清晰。</w:t>
      </w:r>
    </w:p>
    <w:p w14:paraId="4805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9.若本院个别科室或房间内出现蟑螂、蚊、蝇、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蚂蚁、跳蚤、白蚁等虫害问题，服务单位应在接到我院通知后24小时内派专业人员到场处理，不另计服务费。</w:t>
      </w:r>
    </w:p>
    <w:p w14:paraId="56C899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firstLine="640" w:firstLineChars="200"/>
        <w:textAlignment w:val="baseline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10.服务期内应定期对各服务区域进行害虫密度检测记录。若密度超标或发现活鼠、新鲜鼠咬痕、鼠粪等鼠迹超标，应免费加强防治和增加服务次数。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7D1A3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11.服务单位使用符合国家规定、高效且安全的药剂，并每月定期向本院提供足量且效果良好的老鼠贴、蟑螂药、灭蚤药及灭蚁药（每月每类约五十份左右，具体数量可根据实际情况调整），供我院自行投放。如自行投药效果不佳，经本院通知，服务单位须及时派遣专业人员现场处理，且不得额外收取任何费用。</w:t>
      </w:r>
    </w:p>
    <w:p w14:paraId="1FD0E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12.服务单位应协助指导我院完善防鼠、防蝇、防蟑、防蚊、防蚤及防白蚁的设施建设，并按规范在全院外环境安装带锁毒饵盒，持续维护并确保其正常使用。</w:t>
      </w:r>
    </w:p>
    <w:p w14:paraId="5A7E4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13.服务单位制定全院各科室年度有害生物防制专项工作计划及时间表，按计划开展服务，每次作业前须提前向医院后勤保卫科报备并记录作业情况。</w:t>
      </w:r>
    </w:p>
    <w:p w14:paraId="78DC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14.服务单位每月详细提交消杀现场记录，包含作业当日区域、药物种类、用量、频次等资料。  </w:t>
      </w:r>
    </w:p>
    <w:p w14:paraId="75948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15.服务地点：江门市蓬江区华园东路30号，江门市五邑中医院全院范围内。</w:t>
      </w:r>
    </w:p>
    <w:p w14:paraId="42773DFB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EC1D1B9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8B5327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9B6688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5E11CA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0A24CD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BC8557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B03752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4EFA7C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6B40A8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3D7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调研报价表</w:t>
      </w:r>
    </w:p>
    <w:p w14:paraId="4F866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项目名称: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2026至2027年除四害及白蚁防治服务采购项目</w:t>
      </w:r>
      <w:r>
        <w:rPr>
          <w:rFonts w:hint="eastAsia" w:ascii="仿宋" w:hAnsi="仿宋" w:eastAsia="仿宋" w:cs="仿宋"/>
          <w:sz w:val="32"/>
          <w:szCs w:val="32"/>
        </w:rPr>
        <w:t>市场调研</w:t>
      </w:r>
    </w:p>
    <w:p w14:paraId="3D70EBEF">
      <w:pPr>
        <w:spacing w:after="0" w:line="50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 w14:paraId="3C89A7BB">
      <w:pPr>
        <w:spacing w:after="0" w:line="50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根据采购人的项目需求，报价表如下：</w:t>
      </w:r>
    </w:p>
    <w:tbl>
      <w:tblPr>
        <w:tblStyle w:val="6"/>
        <w:tblW w:w="10046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48"/>
        <w:gridCol w:w="1872"/>
        <w:gridCol w:w="4781"/>
      </w:tblGrid>
      <w:tr w14:paraId="7465B4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4E56E795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448" w:type="dxa"/>
            <w:noWrap w:val="0"/>
            <w:vAlign w:val="center"/>
          </w:tcPr>
          <w:p w14:paraId="3509E5E5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采购项目名称/采购包名称</w:t>
            </w:r>
          </w:p>
        </w:tc>
        <w:tc>
          <w:tcPr>
            <w:tcW w:w="1872" w:type="dxa"/>
            <w:noWrap w:val="0"/>
            <w:vAlign w:val="center"/>
          </w:tcPr>
          <w:p w14:paraId="4257E104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投标报价</w:t>
            </w:r>
          </w:p>
          <w:p w14:paraId="3485CA3E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（元/年）</w:t>
            </w:r>
          </w:p>
        </w:tc>
        <w:tc>
          <w:tcPr>
            <w:tcW w:w="4781" w:type="dxa"/>
            <w:noWrap w:val="0"/>
            <w:vAlign w:val="center"/>
          </w:tcPr>
          <w:p w14:paraId="527108BB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服务内容</w:t>
            </w:r>
          </w:p>
        </w:tc>
      </w:tr>
      <w:tr w14:paraId="794235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noWrap w:val="0"/>
            <w:vAlign w:val="center"/>
          </w:tcPr>
          <w:p w14:paraId="5CBEF925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448" w:type="dxa"/>
            <w:noWrap w:val="0"/>
            <w:vAlign w:val="center"/>
          </w:tcPr>
          <w:p w14:paraId="264B4C62">
            <w:pPr>
              <w:pStyle w:val="2"/>
              <w:spacing w:after="0"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江门市五邑中医院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2026至2027年除四害及白蚁防治服务采购项目</w:t>
            </w:r>
          </w:p>
        </w:tc>
        <w:tc>
          <w:tcPr>
            <w:tcW w:w="1872" w:type="dxa"/>
            <w:noWrap w:val="0"/>
            <w:vAlign w:val="center"/>
          </w:tcPr>
          <w:p w14:paraId="1CBEEDF8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81" w:type="dxa"/>
            <w:noWrap w:val="0"/>
            <w:vAlign w:val="center"/>
          </w:tcPr>
          <w:p w14:paraId="19CFD061">
            <w:pPr>
              <w:pStyle w:val="2"/>
              <w:spacing w:after="0" w:line="5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全院范围内服务</w:t>
            </w:r>
          </w:p>
        </w:tc>
      </w:tr>
    </w:tbl>
    <w:p w14:paraId="598AB2C0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 w14:paraId="13A6474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576" w:firstLineChars="200"/>
        <w:jc w:val="both"/>
        <w:textAlignment w:val="baseline"/>
        <w:rPr>
          <w:rFonts w:hint="eastAsia" w:ascii="仿宋" w:hAnsi="仿宋" w:eastAsia="仿宋" w:cs="仿宋"/>
          <w:bCs/>
          <w:w w:val="9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w w:val="90"/>
          <w:sz w:val="32"/>
          <w:szCs w:val="32"/>
          <w:highlight w:val="none"/>
        </w:rPr>
        <w:t>1.项目报价是为含税全包价，包括但不限于清单所列明服务明细、人力成本、运输、装卸、安装调试运行的维护更换、维护服务及相关服务等一切费用、管理酬金、税金等。采购人不额外增加费用。</w:t>
      </w:r>
    </w:p>
    <w:p w14:paraId="1FBA225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576" w:firstLineChars="200"/>
        <w:jc w:val="both"/>
        <w:textAlignment w:val="baseline"/>
        <w:rPr>
          <w:rFonts w:hint="eastAsia" w:ascii="仿宋" w:hAnsi="仿宋" w:eastAsia="仿宋" w:cs="仿宋"/>
          <w:bCs/>
          <w:w w:val="9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w w:val="90"/>
          <w:sz w:val="32"/>
          <w:szCs w:val="32"/>
          <w:highlight w:val="none"/>
        </w:rPr>
        <w:t>2.供应商须按要求填写所有信息，不得随意更改本表格式。</w:t>
      </w:r>
    </w:p>
    <w:p w14:paraId="5B4A6B0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576" w:firstLineChars="200"/>
        <w:jc w:val="both"/>
        <w:textAlignment w:val="baseline"/>
        <w:rPr>
          <w:rFonts w:hint="eastAsia" w:ascii="仿宋" w:hAnsi="仿宋" w:eastAsia="仿宋" w:cs="仿宋"/>
          <w:bCs/>
          <w:w w:val="9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w w:val="90"/>
          <w:sz w:val="32"/>
          <w:szCs w:val="32"/>
          <w:highlight w:val="none"/>
        </w:rPr>
        <w:t>3.供应商报价以经加盖公章后调研报价表为准。</w:t>
      </w:r>
    </w:p>
    <w:p w14:paraId="18029A61">
      <w:pPr>
        <w:spacing w:line="560" w:lineRule="exact"/>
        <w:jc w:val="center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</w:p>
    <w:p w14:paraId="1A820203">
      <w:pPr>
        <w:spacing w:line="560" w:lineRule="exact"/>
        <w:jc w:val="center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供应商名称(加盖公章):</w:t>
      </w:r>
    </w:p>
    <w:p w14:paraId="428AB8B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日期:     年   月   日</w:t>
      </w:r>
    </w:p>
    <w:p w14:paraId="66681ACA">
      <w:pPr>
        <w:spacing w:beforeLines="0" w:afterLines="0" w:line="560" w:lineRule="exact"/>
        <w:textAlignment w:val="top"/>
        <w:rPr>
          <w:rFonts w:hint="eastAsia" w:ascii="黑体" w:hAnsi="黑体" w:eastAsia="黑体" w:cs="黑体"/>
          <w:sz w:val="32"/>
          <w:szCs w:val="32"/>
        </w:rPr>
      </w:pPr>
    </w:p>
    <w:p w14:paraId="2D171BC6">
      <w:pPr>
        <w:spacing w:beforeLines="0" w:afterLines="0" w:line="560" w:lineRule="exact"/>
        <w:textAlignment w:val="top"/>
        <w:rPr>
          <w:rFonts w:hint="eastAsia" w:ascii="黑体" w:hAnsi="黑体" w:eastAsia="黑体" w:cs="黑体"/>
          <w:sz w:val="32"/>
          <w:szCs w:val="32"/>
        </w:rPr>
      </w:pPr>
    </w:p>
    <w:p w14:paraId="2386B57A">
      <w:pPr>
        <w:spacing w:beforeLines="0" w:afterLines="0" w:line="560" w:lineRule="exact"/>
        <w:textAlignment w:val="top"/>
        <w:rPr>
          <w:rFonts w:hint="eastAsia" w:ascii="黑体" w:hAnsi="黑体" w:eastAsia="黑体" w:cs="黑体"/>
          <w:sz w:val="32"/>
          <w:szCs w:val="32"/>
        </w:rPr>
      </w:pPr>
    </w:p>
    <w:p w14:paraId="6AC337F6">
      <w:pPr>
        <w:spacing w:beforeLines="0" w:afterLines="0" w:line="560" w:lineRule="exact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FEDF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江门市五邑中医院服务类采购项目市场</w:t>
      </w:r>
    </w:p>
    <w:p w14:paraId="6337A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61616"/>
          <w:sz w:val="44"/>
          <w:szCs w:val="44"/>
          <w:lang w:val="en-US" w:eastAsia="zh-CN"/>
        </w:rPr>
        <w:t>调研表</w:t>
      </w:r>
    </w:p>
    <w:p w14:paraId="6DF02A3D">
      <w:pPr>
        <w:spacing w:beforeLines="0" w:afterLines="0"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一、基本信息及行业信息：</w:t>
      </w:r>
    </w:p>
    <w:tbl>
      <w:tblPr>
        <w:tblStyle w:val="6"/>
        <w:tblW w:w="85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3208"/>
        <w:gridCol w:w="1453"/>
        <w:gridCol w:w="2002"/>
      </w:tblGrid>
      <w:tr w14:paraId="1FC53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76BB2">
            <w:pPr>
              <w:spacing w:beforeLines="0" w:afterLines="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公司名称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17E2AC">
            <w:pPr>
              <w:spacing w:beforeLines="0" w:afterLines="0"/>
              <w:ind w:left="420" w:hanging="420" w:hangingChars="1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481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7D4C5">
            <w:pPr>
              <w:spacing w:beforeLines="0" w:afterLines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公司性质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74A8A8">
            <w:pPr>
              <w:spacing w:beforeLines="0" w:afterLines="0" w:line="360" w:lineRule="auto"/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国有企业 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私营企业</w:t>
            </w:r>
          </w:p>
          <w:p w14:paraId="5D1F2FB1">
            <w:pPr>
              <w:spacing w:beforeLines="0" w:afterLines="0" w:line="360" w:lineRule="auto"/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股份制企业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其他：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</w:rPr>
              <w:t xml:space="preserve">        </w:t>
            </w:r>
          </w:p>
        </w:tc>
      </w:tr>
      <w:tr w14:paraId="2A088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63344E">
            <w:pPr>
              <w:spacing w:beforeLines="0" w:afterLines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C0D6C3">
            <w:pPr>
              <w:spacing w:beforeLines="0" w:afterLines="0"/>
              <w:ind w:left="420" w:hanging="480" w:hangingChars="15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3F895">
            <w:pPr>
              <w:spacing w:beforeLines="0" w:afterLines="0"/>
              <w:ind w:left="360" w:hanging="480" w:hangingChars="15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77ACA">
            <w:pPr>
              <w:spacing w:beforeLines="0" w:afterLines="0"/>
              <w:ind w:left="420" w:hanging="420" w:hangingChars="1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7FD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AA406">
            <w:pPr>
              <w:spacing w:beforeLines="0" w:afterLines="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电话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A4D9C7">
            <w:pPr>
              <w:spacing w:beforeLines="0" w:afterLines="0"/>
              <w:ind w:left="420" w:hanging="480" w:hangingChars="15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A99A6">
            <w:pPr>
              <w:spacing w:beforeLines="0" w:afterLines="0"/>
              <w:ind w:left="360" w:hanging="480" w:hangingChars="15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04308">
            <w:pPr>
              <w:spacing w:beforeLines="0" w:afterLines="0"/>
              <w:ind w:left="420" w:hanging="420" w:hangingChars="1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D37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3262D3">
            <w:pPr>
              <w:spacing w:beforeLines="0" w:afterLines="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企业类型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0EDBC">
            <w:pPr>
              <w:spacing w:beforeLines="0" w:afterLines="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大型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中型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小型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微型</w:t>
            </w:r>
          </w:p>
        </w:tc>
      </w:tr>
      <w:tr w14:paraId="55AEF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6EDAF">
            <w:pPr>
              <w:spacing w:beforeLines="0" w:afterLines="0"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是否有意向参与本项目投标</w:t>
            </w:r>
          </w:p>
        </w:tc>
        <w:tc>
          <w:tcPr>
            <w:tcW w:w="6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C7E026">
            <w:p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项目名称：2026至2027年除四害及白蚁防治服务采购项目</w:t>
            </w:r>
          </w:p>
          <w:p w14:paraId="27F7D72C">
            <w:pPr>
              <w:spacing w:beforeLines="0" w:afterLines="0"/>
              <w:ind w:left="420" w:hanging="480" w:hangingChars="15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参与意向：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是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否</w:t>
            </w:r>
          </w:p>
        </w:tc>
      </w:tr>
    </w:tbl>
    <w:p w14:paraId="69552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二、问卷邀请函</w:t>
      </w:r>
    </w:p>
    <w:p w14:paraId="13489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致：江门市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五邑中医院</w:t>
      </w:r>
    </w:p>
    <w:p w14:paraId="09B0F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我公司已认真阅读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充分知悉并了解了贵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针对本次采购需求调查内容，我方针对本次调查的建议或者意见都已在本记录中进行了反映。</w:t>
      </w:r>
    </w:p>
    <w:p w14:paraId="7CE4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我方同意贵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无偿采用我方提交的采购需求调查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表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全部或部分内容作为贵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采购需求的内容，并无需承担任何责任。</w:t>
      </w:r>
    </w:p>
    <w:p w14:paraId="7423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本公司将严格遵守上述事项，并对其真实性负责。</w:t>
      </w:r>
    </w:p>
    <w:p w14:paraId="69320DAA"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</w:p>
    <w:p w14:paraId="201B82BB"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</w:p>
    <w:p w14:paraId="2A7A1972">
      <w:pPr>
        <w:spacing w:line="360" w:lineRule="auto"/>
        <w:jc w:val="left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</w:p>
    <w:p w14:paraId="3F278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520" w:firstLine="1280" w:firstLineChars="400"/>
        <w:jc w:val="left"/>
        <w:textAlignment w:val="baseline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单位名称（盖公章）：          </w:t>
      </w:r>
    </w:p>
    <w:p w14:paraId="58878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40" w:firstLineChars="1200"/>
        <w:textAlignment w:val="baseline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年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月  日</w:t>
      </w:r>
    </w:p>
    <w:p w14:paraId="70B47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</w:p>
    <w:p w14:paraId="72086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28"/>
          <w:szCs w:val="28"/>
          <w:highlight w:val="none"/>
        </w:rPr>
      </w:pPr>
    </w:p>
    <w:p w14:paraId="47620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 w14:paraId="7A6A8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 w14:paraId="42E81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 w14:paraId="15B3D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 w14:paraId="565E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 w14:paraId="66C2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 w14:paraId="5198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 w14:paraId="577B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</w:p>
    <w:p w14:paraId="275C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三、调查内容</w:t>
      </w:r>
    </w:p>
    <w:p w14:paraId="41941E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  <w:t>（一）相关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行业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  <w:t>发展</w:t>
      </w:r>
    </w:p>
    <w:p w14:paraId="69C1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行业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路线、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水平、技术水平或行业的发展历程、行业现状等：</w:t>
      </w:r>
    </w:p>
    <w:p w14:paraId="710D6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2.可能涉及的企业资质、产品资质、人员资质：</w:t>
      </w:r>
    </w:p>
    <w:p w14:paraId="348C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3.涉及的相关标准和规范：</w:t>
      </w:r>
    </w:p>
    <w:p w14:paraId="38D72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  <w:t>（二）市场供给</w:t>
      </w:r>
    </w:p>
    <w:p w14:paraId="4D45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1.市场竞争程度：</w:t>
      </w:r>
    </w:p>
    <w:p w14:paraId="480A3125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CE72A36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9514A65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5E6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2.价格水平或价格构成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可参照附件2再补充其他信息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 w14:paraId="35F82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10187825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3E620A3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7A5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3.潜在供应商的履约能力、售后服务能力：</w:t>
      </w:r>
    </w:p>
    <w:p w14:paraId="61C8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8BA1320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4C443AA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6F90AB3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E059F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28"/>
          <w:szCs w:val="28"/>
          <w:highlight w:val="none"/>
        </w:rPr>
      </w:pPr>
    </w:p>
    <w:p w14:paraId="2A659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28"/>
          <w:szCs w:val="28"/>
          <w:highlight w:val="none"/>
        </w:rPr>
      </w:pPr>
    </w:p>
    <w:p w14:paraId="7F302C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28"/>
          <w:szCs w:val="28"/>
          <w:highlight w:val="none"/>
        </w:rPr>
      </w:pPr>
    </w:p>
    <w:p w14:paraId="104618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  <w:t>（三）同类采购项目历史成交信息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可自行添加表格行数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  <w:lang w:eastAsia="zh-CN"/>
        </w:rPr>
        <w:t>）</w:t>
      </w:r>
    </w:p>
    <w:tbl>
      <w:tblPr>
        <w:tblStyle w:val="7"/>
        <w:tblW w:w="58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60"/>
        <w:gridCol w:w="1528"/>
        <w:gridCol w:w="1545"/>
        <w:gridCol w:w="1276"/>
        <w:gridCol w:w="1118"/>
        <w:gridCol w:w="1410"/>
        <w:gridCol w:w="1387"/>
      </w:tblGrid>
      <w:tr w14:paraId="2F0E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62" w:type="pct"/>
            <w:noWrap w:val="0"/>
            <w:vAlign w:val="center"/>
          </w:tcPr>
          <w:p w14:paraId="625EA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00" w:type="pct"/>
            <w:noWrap w:val="0"/>
            <w:vAlign w:val="center"/>
          </w:tcPr>
          <w:p w14:paraId="18A4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采购人</w:t>
            </w:r>
          </w:p>
        </w:tc>
        <w:tc>
          <w:tcPr>
            <w:tcW w:w="727" w:type="pct"/>
            <w:noWrap w:val="0"/>
            <w:vAlign w:val="center"/>
          </w:tcPr>
          <w:p w14:paraId="6E9C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5" w:type="pct"/>
            <w:noWrap w:val="0"/>
            <w:vAlign w:val="center"/>
          </w:tcPr>
          <w:p w14:paraId="0626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项目预算</w:t>
            </w:r>
          </w:p>
        </w:tc>
        <w:tc>
          <w:tcPr>
            <w:tcW w:w="607" w:type="pct"/>
            <w:noWrap w:val="0"/>
            <w:vAlign w:val="center"/>
          </w:tcPr>
          <w:p w14:paraId="4EB7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中标人</w:t>
            </w:r>
          </w:p>
        </w:tc>
        <w:tc>
          <w:tcPr>
            <w:tcW w:w="532" w:type="pct"/>
            <w:noWrap w:val="0"/>
            <w:vAlign w:val="center"/>
          </w:tcPr>
          <w:p w14:paraId="6ECC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中标价</w:t>
            </w:r>
          </w:p>
        </w:tc>
        <w:tc>
          <w:tcPr>
            <w:tcW w:w="671" w:type="pct"/>
            <w:noWrap w:val="0"/>
            <w:vAlign w:val="center"/>
          </w:tcPr>
          <w:p w14:paraId="01780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合同期</w:t>
            </w:r>
          </w:p>
        </w:tc>
        <w:tc>
          <w:tcPr>
            <w:tcW w:w="660" w:type="pct"/>
            <w:noWrap w:val="0"/>
            <w:vAlign w:val="center"/>
          </w:tcPr>
          <w:p w14:paraId="36F2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 w14:paraId="28CB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62" w:type="pct"/>
            <w:noWrap w:val="0"/>
            <w:vAlign w:val="center"/>
          </w:tcPr>
          <w:p w14:paraId="22A5EC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00" w:type="pct"/>
            <w:noWrap w:val="0"/>
            <w:vAlign w:val="center"/>
          </w:tcPr>
          <w:p w14:paraId="03C972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27" w:type="pct"/>
            <w:noWrap w:val="0"/>
            <w:vAlign w:val="center"/>
          </w:tcPr>
          <w:p w14:paraId="6327A4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35" w:type="pct"/>
            <w:noWrap w:val="0"/>
            <w:vAlign w:val="center"/>
          </w:tcPr>
          <w:p w14:paraId="59D92A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07" w:type="pct"/>
            <w:noWrap w:val="0"/>
            <w:vAlign w:val="center"/>
          </w:tcPr>
          <w:p w14:paraId="3D9FFA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32" w:type="pct"/>
            <w:noWrap w:val="0"/>
            <w:vAlign w:val="center"/>
          </w:tcPr>
          <w:p w14:paraId="69BD90F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ABDAE7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60" w:type="pct"/>
            <w:noWrap w:val="0"/>
            <w:vAlign w:val="center"/>
          </w:tcPr>
          <w:p w14:paraId="552F60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202A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62" w:type="pct"/>
            <w:noWrap w:val="0"/>
            <w:vAlign w:val="center"/>
          </w:tcPr>
          <w:p w14:paraId="434CFD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00" w:type="pct"/>
            <w:noWrap w:val="0"/>
            <w:vAlign w:val="center"/>
          </w:tcPr>
          <w:p w14:paraId="319F4F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27" w:type="pct"/>
            <w:noWrap w:val="0"/>
            <w:vAlign w:val="center"/>
          </w:tcPr>
          <w:p w14:paraId="1E97C0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35" w:type="pct"/>
            <w:noWrap w:val="0"/>
            <w:vAlign w:val="center"/>
          </w:tcPr>
          <w:p w14:paraId="25A7A1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07" w:type="pct"/>
            <w:noWrap w:val="0"/>
            <w:vAlign w:val="center"/>
          </w:tcPr>
          <w:p w14:paraId="6A3A6C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32" w:type="pct"/>
            <w:noWrap w:val="0"/>
            <w:vAlign w:val="center"/>
          </w:tcPr>
          <w:p w14:paraId="37828D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71" w:type="pct"/>
            <w:noWrap w:val="0"/>
            <w:vAlign w:val="center"/>
          </w:tcPr>
          <w:p w14:paraId="793AB7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60" w:type="pct"/>
            <w:noWrap w:val="0"/>
            <w:vAlign w:val="center"/>
          </w:tcPr>
          <w:p w14:paraId="6CF05D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65F3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62" w:type="pct"/>
            <w:noWrap w:val="0"/>
            <w:vAlign w:val="center"/>
          </w:tcPr>
          <w:p w14:paraId="38E470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600" w:type="pct"/>
            <w:noWrap w:val="0"/>
            <w:vAlign w:val="center"/>
          </w:tcPr>
          <w:p w14:paraId="79DA88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27" w:type="pct"/>
            <w:noWrap w:val="0"/>
            <w:vAlign w:val="center"/>
          </w:tcPr>
          <w:p w14:paraId="7A4210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735" w:type="pct"/>
            <w:noWrap w:val="0"/>
            <w:vAlign w:val="center"/>
          </w:tcPr>
          <w:p w14:paraId="47CC65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07" w:type="pct"/>
            <w:noWrap w:val="0"/>
            <w:vAlign w:val="center"/>
          </w:tcPr>
          <w:p w14:paraId="1AC573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532" w:type="pct"/>
            <w:noWrap w:val="0"/>
            <w:vAlign w:val="center"/>
          </w:tcPr>
          <w:p w14:paraId="524561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71" w:type="pct"/>
            <w:noWrap w:val="0"/>
            <w:vAlign w:val="center"/>
          </w:tcPr>
          <w:p w14:paraId="122C5A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660" w:type="pct"/>
            <w:noWrap w:val="0"/>
            <w:vAlign w:val="center"/>
          </w:tcPr>
          <w:p w14:paraId="5840CF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 w14:paraId="783B3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  <w:t>（四）后续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  <w:t>采购情况</w:t>
      </w:r>
    </w:p>
    <w:bookmarkEnd w:id="0"/>
    <w:p w14:paraId="060E1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color w:val="191919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可能涉及的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工衣、工具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highlight w:val="none"/>
        </w:rPr>
        <w:t>、备品</w:t>
      </w:r>
      <w:r>
        <w:rPr>
          <w:rFonts w:hint="eastAsia" w:ascii="仿宋" w:hAnsi="仿宋" w:eastAsia="仿宋" w:cs="仿宋"/>
          <w:color w:val="191919"/>
          <w:sz w:val="32"/>
          <w:szCs w:val="32"/>
          <w:highlight w:val="none"/>
        </w:rPr>
        <w:t>备件、耗材</w:t>
      </w:r>
      <w:r>
        <w:rPr>
          <w:rFonts w:hint="eastAsia" w:ascii="仿宋" w:hAnsi="仿宋" w:eastAsia="仿宋" w:cs="仿宋"/>
          <w:color w:val="191919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191919"/>
          <w:sz w:val="32"/>
          <w:szCs w:val="32"/>
          <w:highlight w:val="none"/>
          <w:lang w:val="en-US" w:eastAsia="zh-CN"/>
        </w:rPr>
        <w:t>车辆</w:t>
      </w:r>
      <w:r>
        <w:rPr>
          <w:rFonts w:hint="eastAsia" w:ascii="仿宋" w:hAnsi="仿宋" w:eastAsia="仿宋" w:cs="仿宋"/>
          <w:color w:val="191919"/>
          <w:sz w:val="32"/>
          <w:szCs w:val="32"/>
          <w:highlight w:val="none"/>
        </w:rPr>
        <w:t>等情况：</w:t>
      </w:r>
    </w:p>
    <w:p w14:paraId="2DC84524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F54CF77"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EBDB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  <w:t>（五）影响供应商报价和项目实施风险的因素</w:t>
      </w:r>
    </w:p>
    <w:p w14:paraId="7332B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28"/>
          <w:szCs w:val="28"/>
          <w:highlight w:val="none"/>
        </w:rPr>
      </w:pPr>
    </w:p>
    <w:p w14:paraId="57285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28"/>
          <w:szCs w:val="28"/>
          <w:highlight w:val="none"/>
        </w:rPr>
      </w:pPr>
    </w:p>
    <w:p w14:paraId="64CCA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highlight w:val="none"/>
        </w:rPr>
        <w:t>（六）供应商认为需要提供的其他说明</w:t>
      </w:r>
    </w:p>
    <w:p w14:paraId="6B0B9E8E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F1A4358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FDD4953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4C5C972">
      <w:pPr>
        <w:spacing w:line="360" w:lineRule="auto"/>
        <w:ind w:left="2520" w:firstLine="420"/>
        <w:jc w:val="both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单位名称（盖公章）：          </w:t>
      </w:r>
    </w:p>
    <w:p w14:paraId="74BE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textAlignment w:val="baseline"/>
        <w:rPr>
          <w:rFonts w:hint="eastAsia" w:ascii="仿宋" w:hAnsi="仿宋" w:eastAsia="仿宋" w:cs="仿宋"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日期：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年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 xml:space="preserve"> 月  日</w:t>
      </w:r>
    </w:p>
    <w:p w14:paraId="32649E48"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F20B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EC0E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EC0E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96BB0"/>
    <w:rsid w:val="57E9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adjustRightInd w:val="0"/>
      <w:spacing w:line="480" w:lineRule="exact"/>
      <w:ind w:left="850" w:hanging="249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2025-10-24T07:29:00Z</dcterms:created>
  <dc:creator>DanDanzzZ</dc:creator>
  <cp:lastModifiedBy>DanDanzzZ</cp:lastModifiedBy>
  <dcterms:modified xsi:type="dcterms:W3CDTF">2025-10-24T07:31:27Z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5EBA8D08DF4D4CFE8E0F0683384F2C53_11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