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F0E76"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铥激光治疗仪论证</w:t>
      </w:r>
      <w:r>
        <w:rPr>
          <w:rFonts w:hint="eastAsia"/>
          <w:b/>
          <w:bCs/>
          <w:sz w:val="32"/>
          <w:szCs w:val="40"/>
          <w:lang w:eastAsia="zh-CN"/>
        </w:rPr>
        <w:t>参数</w:t>
      </w:r>
      <w:r>
        <w:rPr>
          <w:rFonts w:hint="eastAsia"/>
          <w:b/>
          <w:bCs/>
          <w:sz w:val="32"/>
          <w:szCs w:val="40"/>
          <w:lang w:val="en-US" w:eastAsia="zh-CN"/>
        </w:rPr>
        <w:t>要求</w:t>
      </w:r>
    </w:p>
    <w:p w14:paraId="316AE83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28"/>
          <w:szCs w:val="22"/>
          <w:lang w:val="en-US" w:eastAsia="zh-CN"/>
        </w:rPr>
      </w:pPr>
      <w:r>
        <w:rPr>
          <w:rFonts w:hint="eastAsia" w:ascii="Calibri" w:hAnsi="Calibri" w:eastAsia="宋体"/>
          <w:color w:val="000000"/>
          <w:sz w:val="28"/>
          <w:szCs w:val="22"/>
          <w:lang w:val="en-US" w:eastAsia="zh-CN"/>
        </w:rPr>
        <w:t>1．所投设备的注册证含治疗光纤（提供所投产品的医疗器械注册证）</w:t>
      </w:r>
    </w:p>
    <w:p w14:paraId="1D309D7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28"/>
          <w:szCs w:val="22"/>
          <w:lang w:val="en-US" w:eastAsia="zh-CN"/>
        </w:rPr>
      </w:pPr>
      <w:r>
        <w:rPr>
          <w:rFonts w:hint="eastAsia" w:ascii="Calibri" w:hAnsi="Calibri" w:eastAsia="宋体"/>
          <w:color w:val="000000"/>
          <w:sz w:val="28"/>
          <w:szCs w:val="22"/>
          <w:lang w:val="en-US" w:eastAsia="zh-CN"/>
        </w:rPr>
        <w:t>2．具有脉冲串输出模式，实现原位碎石，缩短手术时间</w:t>
      </w:r>
    </w:p>
    <w:p w14:paraId="7F8C26D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28"/>
          <w:szCs w:val="22"/>
          <w:lang w:val="en-US" w:eastAsia="zh-CN"/>
        </w:rPr>
      </w:pPr>
      <w:r>
        <w:rPr>
          <w:rFonts w:hint="eastAsia" w:ascii="Calibri" w:hAnsi="Calibri" w:eastAsia="宋体"/>
          <w:color w:val="000000"/>
          <w:sz w:val="28"/>
          <w:szCs w:val="22"/>
          <w:lang w:val="en-US" w:eastAsia="zh-CN"/>
        </w:rPr>
        <w:t>3．软组织切割模式中具有脉冲输出和连续输出。</w:t>
      </w:r>
    </w:p>
    <w:p w14:paraId="447FF31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28"/>
          <w:szCs w:val="22"/>
          <w:lang w:val="en-US" w:eastAsia="zh-CN"/>
        </w:rPr>
      </w:pPr>
      <w:r>
        <w:rPr>
          <w:rFonts w:hint="eastAsia" w:ascii="Calibri" w:hAnsi="Calibri" w:eastAsia="宋体"/>
          <w:color w:val="000000"/>
          <w:sz w:val="28"/>
          <w:szCs w:val="22"/>
          <w:lang w:val="en-US" w:eastAsia="zh-CN"/>
        </w:rPr>
        <w:t>4．软组织切割模式：脉冲输出的脉冲宽度可调</w:t>
      </w:r>
    </w:p>
    <w:p w14:paraId="54FB9D7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28"/>
          <w:szCs w:val="22"/>
          <w:lang w:val="en-US" w:eastAsia="zh-CN"/>
        </w:rPr>
      </w:pPr>
      <w:r>
        <w:rPr>
          <w:rFonts w:hint="eastAsia" w:ascii="Calibri" w:hAnsi="Calibri" w:eastAsia="宋体"/>
          <w:color w:val="000000"/>
          <w:sz w:val="28"/>
          <w:szCs w:val="22"/>
          <w:lang w:val="en-US" w:eastAsia="zh-CN"/>
        </w:rPr>
        <w:t>5．脚踏控制的最大止血功率≥40W，可以满足不同的治疗需求</w:t>
      </w:r>
    </w:p>
    <w:p w14:paraId="0C324CA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28"/>
          <w:szCs w:val="22"/>
          <w:lang w:val="en-US" w:eastAsia="zh-CN"/>
        </w:rPr>
      </w:pPr>
      <w:r>
        <w:rPr>
          <w:rFonts w:hint="eastAsia" w:ascii="Calibri" w:hAnsi="Calibri" w:eastAsia="宋体"/>
          <w:color w:val="000000"/>
          <w:sz w:val="28"/>
          <w:szCs w:val="22"/>
          <w:lang w:val="en-US" w:eastAsia="zh-CN"/>
        </w:rPr>
        <w:t>6．工作激光输出波长：≥1900nm</w:t>
      </w:r>
    </w:p>
    <w:p w14:paraId="7D37F16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28"/>
          <w:szCs w:val="22"/>
          <w:lang w:val="en-US" w:eastAsia="zh-CN"/>
        </w:rPr>
      </w:pPr>
      <w:r>
        <w:rPr>
          <w:rFonts w:hint="eastAsia" w:ascii="Calibri" w:hAnsi="Calibri" w:eastAsia="宋体"/>
          <w:color w:val="000000"/>
          <w:sz w:val="28"/>
          <w:szCs w:val="22"/>
          <w:lang w:val="en-US" w:eastAsia="zh-CN"/>
        </w:rPr>
        <w:t>7．冷却系统：风冷，无压缩机及水路制冷，噪音低，环保节能</w:t>
      </w:r>
    </w:p>
    <w:p w14:paraId="5829F88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28"/>
          <w:szCs w:val="22"/>
          <w:lang w:val="en-US" w:eastAsia="zh-CN"/>
        </w:rPr>
      </w:pPr>
      <w:r>
        <w:rPr>
          <w:rFonts w:hint="eastAsia" w:ascii="Calibri" w:hAnsi="Calibri" w:eastAsia="宋体"/>
          <w:color w:val="000000"/>
          <w:sz w:val="28"/>
          <w:szCs w:val="22"/>
          <w:lang w:val="en-US" w:eastAsia="zh-CN"/>
        </w:rPr>
        <w:t>8．可调输出功率范围：6～40W（提供治疗机警示标签佐证，并加盖厂家鲜章）</w:t>
      </w:r>
    </w:p>
    <w:p w14:paraId="6123EFE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28"/>
          <w:szCs w:val="22"/>
          <w:lang w:val="en-US" w:eastAsia="zh-CN"/>
        </w:rPr>
      </w:pPr>
      <w:r>
        <w:rPr>
          <w:rFonts w:hint="eastAsia" w:ascii="Calibri" w:hAnsi="Calibri" w:eastAsia="宋体"/>
          <w:color w:val="000000"/>
          <w:sz w:val="28"/>
          <w:szCs w:val="22"/>
          <w:lang w:val="en-US" w:eastAsia="zh-CN"/>
        </w:rPr>
        <w:t>9．脉冲宽度可调范围：200μs～30000us（提供国家食品药品监督管理局下属检验机构出具的检验报告）</w:t>
      </w:r>
    </w:p>
    <w:p w14:paraId="54D380F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28"/>
          <w:szCs w:val="22"/>
          <w:lang w:val="en-US" w:eastAsia="zh-CN"/>
        </w:rPr>
      </w:pPr>
      <w:r>
        <w:rPr>
          <w:rFonts w:hint="eastAsia" w:ascii="Calibri" w:hAnsi="Calibri" w:eastAsia="宋体"/>
          <w:color w:val="000000"/>
          <w:sz w:val="28"/>
          <w:szCs w:val="22"/>
          <w:lang w:val="en-US" w:eastAsia="zh-CN"/>
        </w:rPr>
        <w:t>10．最大脉冲宽度：≤30000us（提供国家食品药品监督管理局下属检验机构出具的检验报告）</w:t>
      </w:r>
    </w:p>
    <w:p w14:paraId="76FFF36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28"/>
          <w:szCs w:val="22"/>
          <w:lang w:val="en-US" w:eastAsia="zh-CN"/>
        </w:rPr>
      </w:pPr>
      <w:r>
        <w:rPr>
          <w:rFonts w:hint="eastAsia" w:ascii="Calibri" w:hAnsi="Calibri" w:eastAsia="宋体"/>
          <w:color w:val="000000"/>
          <w:sz w:val="28"/>
          <w:szCs w:val="22"/>
          <w:lang w:val="en-US" w:eastAsia="zh-CN"/>
        </w:rPr>
        <w:t>11．最高脉冲频率：≥1200Hz可调</w:t>
      </w:r>
    </w:p>
    <w:p w14:paraId="26255F2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28"/>
          <w:szCs w:val="22"/>
          <w:lang w:val="en-US" w:eastAsia="zh-CN"/>
        </w:rPr>
      </w:pPr>
      <w:r>
        <w:rPr>
          <w:rFonts w:hint="eastAsia" w:ascii="Calibri" w:hAnsi="Calibri" w:eastAsia="宋体"/>
          <w:color w:val="000000"/>
          <w:sz w:val="28"/>
          <w:szCs w:val="22"/>
          <w:lang w:val="en-US" w:eastAsia="zh-CN"/>
        </w:rPr>
        <w:t>12．最小单脉冲能量：≤0.1J（提供产品说明书及治疗机显示屏截图佐证）</w:t>
      </w:r>
    </w:p>
    <w:p w14:paraId="39E1FF9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28"/>
          <w:szCs w:val="22"/>
          <w:lang w:val="en-US" w:eastAsia="zh-CN"/>
        </w:rPr>
      </w:pPr>
      <w:r>
        <w:rPr>
          <w:rFonts w:hint="eastAsia" w:ascii="Calibri" w:hAnsi="Calibri" w:eastAsia="宋体"/>
          <w:color w:val="000000"/>
          <w:sz w:val="28"/>
          <w:szCs w:val="22"/>
          <w:lang w:val="en-US" w:eastAsia="zh-CN"/>
        </w:rPr>
        <w:t>13．最大单脉冲能量：≥5J</w:t>
      </w:r>
    </w:p>
    <w:p w14:paraId="2F01DAB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28"/>
          <w:szCs w:val="22"/>
          <w:lang w:val="en-US" w:eastAsia="zh-CN"/>
        </w:rPr>
      </w:pPr>
      <w:r>
        <w:rPr>
          <w:rFonts w:hint="eastAsia" w:ascii="Calibri" w:hAnsi="Calibri" w:eastAsia="宋体"/>
          <w:color w:val="000000"/>
          <w:sz w:val="28"/>
          <w:szCs w:val="22"/>
          <w:lang w:val="en-US" w:eastAsia="zh-CN"/>
        </w:rPr>
        <w:t>14．具有控制能量稳定功能，使激光能量输出不稳定度：≤±5％</w:t>
      </w:r>
    </w:p>
    <w:p w14:paraId="0A427B0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left="334" w:leftChars="142" w:hanging="36" w:hangingChars="13"/>
        <w:jc w:val="both"/>
        <w:textAlignment w:val="auto"/>
        <w:rPr>
          <w:rFonts w:hint="eastAsia" w:ascii="Calibri" w:hAnsi="Calibri" w:eastAsia="宋体"/>
          <w:color w:val="000000"/>
          <w:sz w:val="28"/>
          <w:szCs w:val="22"/>
          <w:lang w:val="en-US" w:eastAsia="zh-CN"/>
        </w:rPr>
      </w:pPr>
      <w:r>
        <w:rPr>
          <w:rFonts w:hint="eastAsia" w:ascii="Calibri" w:hAnsi="Calibri" w:eastAsia="宋体"/>
          <w:color w:val="000000"/>
          <w:sz w:val="28"/>
          <w:szCs w:val="22"/>
          <w:lang w:val="en-US" w:eastAsia="zh-CN"/>
        </w:rPr>
        <w:t>15．具有控制能量稳定功能，使激光输出功率的复现性：≤±5％</w:t>
      </w:r>
    </w:p>
    <w:p w14:paraId="42DA490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left="334" w:leftChars="142" w:hanging="36" w:hangingChars="13"/>
        <w:jc w:val="both"/>
        <w:textAlignment w:val="auto"/>
        <w:rPr>
          <w:rFonts w:hint="eastAsia" w:ascii="Calibri" w:hAnsi="Calibri" w:eastAsia="宋体"/>
          <w:color w:val="000000"/>
          <w:sz w:val="28"/>
          <w:szCs w:val="22"/>
          <w:lang w:val="en-US" w:eastAsia="zh-CN"/>
        </w:rPr>
      </w:pPr>
      <w:r>
        <w:rPr>
          <w:rFonts w:hint="eastAsia" w:ascii="Calibri" w:hAnsi="Calibri" w:eastAsia="宋体"/>
          <w:color w:val="000000"/>
          <w:sz w:val="28"/>
          <w:szCs w:val="22"/>
          <w:lang w:val="en-US" w:eastAsia="zh-CN"/>
        </w:rPr>
        <w:t>16.设备注册内传输系统须包含芯径为200μm、272μm、365μm、550μm等4种以上规格光纤（提供所投产品的医疗器械注册证）</w:t>
      </w:r>
    </w:p>
    <w:p w14:paraId="7186850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28"/>
          <w:szCs w:val="22"/>
          <w:lang w:val="en-US" w:eastAsia="zh-CN"/>
        </w:rPr>
      </w:pPr>
      <w:r>
        <w:rPr>
          <w:rFonts w:hint="eastAsia" w:ascii="Calibri" w:hAnsi="Calibri" w:eastAsia="宋体"/>
          <w:color w:val="000000"/>
          <w:sz w:val="28"/>
          <w:szCs w:val="22"/>
          <w:lang w:val="en-US" w:eastAsia="zh-CN"/>
        </w:rPr>
        <w:t>17．激光原厂传输光纤有可重复使用光纤和一次性光纤可选，并在省平台挂网（提供所投产品的医疗器械注册证及一次性光纤的挂网截图佐证）</w:t>
      </w:r>
    </w:p>
    <w:p w14:paraId="73130A3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eastAsia" w:ascii="Calibri" w:hAnsi="Calibri" w:eastAsia="宋体"/>
          <w:color w:val="000000"/>
          <w:sz w:val="28"/>
          <w:szCs w:val="22"/>
          <w:lang w:val="en-US" w:eastAsia="zh-CN"/>
        </w:rPr>
      </w:pPr>
      <w:r>
        <w:rPr>
          <w:rFonts w:hint="eastAsia" w:ascii="Calibri" w:hAnsi="Calibri" w:eastAsia="宋体"/>
          <w:color w:val="000000"/>
          <w:sz w:val="28"/>
          <w:szCs w:val="22"/>
          <w:lang w:val="en-US" w:eastAsia="zh-CN"/>
        </w:rPr>
        <w:t>18．搭配</w:t>
      </w:r>
      <w:r>
        <w:rPr>
          <w:rFonts w:hint="default" w:ascii="Arial" w:hAnsi="Arial" w:eastAsia="宋体" w:cs="Arial"/>
          <w:color w:val="000000"/>
          <w:sz w:val="28"/>
          <w:szCs w:val="22"/>
          <w:lang w:val="en-US" w:eastAsia="zh-CN"/>
        </w:rPr>
        <w:t>≥</w:t>
      </w:r>
      <w:r>
        <w:rPr>
          <w:rFonts w:hint="eastAsia" w:ascii="Calibri" w:hAnsi="Calibri" w:eastAsia="宋体"/>
          <w:color w:val="000000"/>
          <w:sz w:val="28"/>
          <w:szCs w:val="22"/>
          <w:lang w:val="en-US" w:eastAsia="zh-CN"/>
        </w:rPr>
        <w:t>150μm光纤末端最大输出功率≥40W（提供国家食品药品监督管理局下属检验机构出具的检验报告）</w:t>
      </w:r>
    </w:p>
    <w:p w14:paraId="7A8F39A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1" w:after="0" w:line="400" w:lineRule="exact"/>
        <w:ind w:firstLine="181"/>
        <w:jc w:val="both"/>
        <w:textAlignment w:val="auto"/>
        <w:rPr>
          <w:rFonts w:hint="default" w:ascii="Calibri" w:hAnsi="Calibri" w:eastAsia="宋体"/>
          <w:color w:val="000000"/>
          <w:sz w:val="30"/>
          <w:lang w:val="en-US" w:eastAsia="zh-CN"/>
        </w:rPr>
      </w:pPr>
      <w:r>
        <w:rPr>
          <w:rFonts w:hint="eastAsia" w:ascii="Calibri" w:hAnsi="Calibri" w:eastAsia="宋体"/>
          <w:color w:val="000000"/>
          <w:sz w:val="28"/>
          <w:szCs w:val="22"/>
          <w:lang w:val="en-US" w:eastAsia="zh-CN"/>
        </w:rPr>
        <w:t>20．具有光纤破损自动识别保护报警功能</w:t>
      </w:r>
      <w:bookmarkStart w:id="0" w:name="_GoBack"/>
      <w:bookmarkEnd w:id="0"/>
    </w:p>
    <w:sectPr>
      <w:pgSz w:w="11906" w:h="16838"/>
      <w:pgMar w:top="1157" w:right="1800" w:bottom="115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Mjc1ZGY5ZTg4YWY1MWZjNjFhYTlmN2Q2ODIxMjAifQ=="/>
  </w:docVars>
  <w:rsids>
    <w:rsidRoot w:val="1FDA278B"/>
    <w:rsid w:val="00E30FAC"/>
    <w:rsid w:val="01121891"/>
    <w:rsid w:val="013E61E2"/>
    <w:rsid w:val="08236132"/>
    <w:rsid w:val="09371E95"/>
    <w:rsid w:val="0C9F66CF"/>
    <w:rsid w:val="10A36062"/>
    <w:rsid w:val="125A4E46"/>
    <w:rsid w:val="13165211"/>
    <w:rsid w:val="13E752E3"/>
    <w:rsid w:val="14636234"/>
    <w:rsid w:val="155F515F"/>
    <w:rsid w:val="16092E0B"/>
    <w:rsid w:val="1656054B"/>
    <w:rsid w:val="191A034A"/>
    <w:rsid w:val="1B7725C5"/>
    <w:rsid w:val="1D102896"/>
    <w:rsid w:val="1EB8772A"/>
    <w:rsid w:val="1F63358C"/>
    <w:rsid w:val="1FDA278B"/>
    <w:rsid w:val="20D858B3"/>
    <w:rsid w:val="215B0293"/>
    <w:rsid w:val="22723AE6"/>
    <w:rsid w:val="26325A66"/>
    <w:rsid w:val="297606E4"/>
    <w:rsid w:val="29DF5F05"/>
    <w:rsid w:val="2A6F54DA"/>
    <w:rsid w:val="2CEE645F"/>
    <w:rsid w:val="30E06312"/>
    <w:rsid w:val="31071D7F"/>
    <w:rsid w:val="31FB42D0"/>
    <w:rsid w:val="33CD0772"/>
    <w:rsid w:val="35BA15D4"/>
    <w:rsid w:val="3821593A"/>
    <w:rsid w:val="38D01885"/>
    <w:rsid w:val="3DF75D0E"/>
    <w:rsid w:val="3EC55271"/>
    <w:rsid w:val="3FF663F6"/>
    <w:rsid w:val="40646D0C"/>
    <w:rsid w:val="40A435AC"/>
    <w:rsid w:val="41D606F3"/>
    <w:rsid w:val="41DC585E"/>
    <w:rsid w:val="42CF2B62"/>
    <w:rsid w:val="43EF2D90"/>
    <w:rsid w:val="45294080"/>
    <w:rsid w:val="45C55239"/>
    <w:rsid w:val="49F36350"/>
    <w:rsid w:val="4B5C0D0B"/>
    <w:rsid w:val="4CF907DC"/>
    <w:rsid w:val="4EB42C0C"/>
    <w:rsid w:val="4F580206"/>
    <w:rsid w:val="512C73D2"/>
    <w:rsid w:val="52B90379"/>
    <w:rsid w:val="52DB2E5E"/>
    <w:rsid w:val="53B92A73"/>
    <w:rsid w:val="56332FB1"/>
    <w:rsid w:val="57A53A3A"/>
    <w:rsid w:val="57CD4D3F"/>
    <w:rsid w:val="57D460CD"/>
    <w:rsid w:val="59E92304"/>
    <w:rsid w:val="5C921A7A"/>
    <w:rsid w:val="5E745F14"/>
    <w:rsid w:val="5E7C4BC4"/>
    <w:rsid w:val="5F7975F7"/>
    <w:rsid w:val="5FC22C67"/>
    <w:rsid w:val="61AD3C17"/>
    <w:rsid w:val="63BC6393"/>
    <w:rsid w:val="643F0D73"/>
    <w:rsid w:val="67A25967"/>
    <w:rsid w:val="6AC02C0D"/>
    <w:rsid w:val="6BAE6F0A"/>
    <w:rsid w:val="6E3B25AB"/>
    <w:rsid w:val="6EBC36EB"/>
    <w:rsid w:val="71357785"/>
    <w:rsid w:val="728C2C51"/>
    <w:rsid w:val="75F55735"/>
    <w:rsid w:val="77AD62C7"/>
    <w:rsid w:val="787B2590"/>
    <w:rsid w:val="7B8F60E1"/>
    <w:rsid w:val="7CDC7A7C"/>
    <w:rsid w:val="7EE0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584</Words>
  <Characters>652</Characters>
  <Lines>0</Lines>
  <Paragraphs>0</Paragraphs>
  <TotalTime>5</TotalTime>
  <ScaleCrop>false</ScaleCrop>
  <LinksUpToDate>false</LinksUpToDate>
  <CharactersWithSpaces>652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2022-08-30T08:09:00Z</dcterms:created>
  <dc:creator>敖</dc:creator>
  <cp:lastModifiedBy>DCX</cp:lastModifiedBy>
  <cp:lastPrinted>2025-06-19T02:10:37Z</cp:lastPrinted>
  <dcterms:modified xsi:type="dcterms:W3CDTF">2025-06-19T02:10:40Z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2A901D7E0AE64076BC8DEC869C01705C</vt:lpwstr>
  </property>
  <property fmtid="{D5CDD505-2E9C-101B-9397-08002B2CF9AE}" pid="4" name="KSOTemplateDocerSaveRecord">
    <vt:lpwstr>eyJoZGlkIjoiZmQwYTg1Zjk5YTM4NzlkNzBiMjk1ZTVlNWY5MGM2MTQiLCJ1c2VySWQiOiIxNjc4NTQ2NjE3In0=</vt:lpwstr>
  </property>
</Properties>
</file>