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6C0A">
      <w:pPr>
        <w:wordWrap w:val="0"/>
        <w:spacing w:before="0" w:after="0" w:line="239" w:lineRule="auto"/>
        <w:ind w:firstLine="240"/>
        <w:jc w:val="center"/>
        <w:rPr>
          <w:rFonts w:hint="default" w:ascii="宋体" w:hAnsi="宋体" w:eastAsia="宋体"/>
          <w:b/>
          <w:bCs/>
          <w:color w:val="000000"/>
          <w:sz w:val="32"/>
          <w:lang w:val="en-US" w:eastAsia="zh-CN"/>
        </w:rPr>
      </w:pPr>
      <w:bookmarkStart w:id="0" w:name="一治疗镜"/>
      <w:r>
        <w:rPr>
          <w:rFonts w:hint="eastAsia" w:ascii="宋体" w:hAnsi="宋体" w:eastAsia="宋体"/>
          <w:b/>
          <w:bCs/>
          <w:color w:val="000000"/>
          <w:sz w:val="32"/>
          <w:lang w:val="en-US" w:eastAsia="zh-CN"/>
        </w:rPr>
        <w:t>电子支气管镜论证参数要求</w:t>
      </w:r>
    </w:p>
    <w:p w14:paraId="0BC44025">
      <w:pPr>
        <w:pStyle w:val="5"/>
        <w:numPr>
          <w:numId w:val="0"/>
        </w:numPr>
        <w:ind w:left="400" w:leftChars="0"/>
      </w:pPr>
      <w:bookmarkStart w:id="2" w:name="_GoBack"/>
      <w:bookmarkEnd w:id="2"/>
      <w:r>
        <w:t>一、治疗镜</w:t>
      </w:r>
    </w:p>
    <w:p w14:paraId="7C674D8F">
      <w:pPr>
        <w:pStyle w:val="25"/>
        <w:numPr>
          <w:ilvl w:val="0"/>
          <w:numId w:val="2"/>
        </w:numPr>
      </w:pPr>
      <w:r>
        <w:t>成像原理：电子成像技术，工作软管不含导像、导光纤维。</w:t>
      </w:r>
    </w:p>
    <w:p w14:paraId="59B6A489">
      <w:pPr>
        <w:pStyle w:val="25"/>
        <w:numPr>
          <w:ilvl w:val="0"/>
          <w:numId w:val="2"/>
        </w:numPr>
      </w:pPr>
      <w:r>
        <w:t>适用范围：适用于气管、支气管及肺的观察、诊断、摄影或辅助治疗。</w:t>
      </w:r>
    </w:p>
    <w:p w14:paraId="51CD803A">
      <w:pPr>
        <w:pStyle w:val="25"/>
        <w:numPr>
          <w:ilvl w:val="0"/>
          <w:numId w:val="2"/>
        </w:numPr>
      </w:pPr>
      <w:r>
        <w:t>软镜插入管外径≤5mm，工作管道内径≥2mm。</w:t>
      </w:r>
    </w:p>
    <w:p w14:paraId="69D9C54B">
      <w:pPr>
        <w:pStyle w:val="25"/>
        <w:numPr>
          <w:ilvl w:val="0"/>
          <w:numId w:val="2"/>
        </w:numPr>
      </w:pPr>
      <w:r>
        <w:t>插入部有效长度≥600mm，自带有360°刻度标识，有利于操作者辨别诊治时的插入长度。</w:t>
      </w:r>
    </w:p>
    <w:p w14:paraId="15F90E0E">
      <w:pPr>
        <w:pStyle w:val="25"/>
        <w:numPr>
          <w:ilvl w:val="0"/>
          <w:numId w:val="2"/>
        </w:numPr>
      </w:pPr>
      <w:r>
        <w:t>视场角≥120°。</w:t>
      </w:r>
    </w:p>
    <w:p w14:paraId="1835A889">
      <w:pPr>
        <w:pStyle w:val="25"/>
        <w:numPr>
          <w:ilvl w:val="0"/>
          <w:numId w:val="2"/>
        </w:numPr>
      </w:pPr>
      <w:r>
        <w:t>景深：3 - 100mm。</w:t>
      </w:r>
    </w:p>
    <w:p w14:paraId="07583C46">
      <w:pPr>
        <w:pStyle w:val="25"/>
        <w:numPr>
          <w:ilvl w:val="0"/>
          <w:numId w:val="2"/>
        </w:numPr>
      </w:pPr>
      <w:r>
        <w:t>插入管软管前端弯曲角度：向上弯曲≥180°，向下弯曲≥130°，双向弯曲≥300°。</w:t>
      </w:r>
    </w:p>
    <w:p w14:paraId="4A80C3E3">
      <w:pPr>
        <w:pStyle w:val="25"/>
        <w:numPr>
          <w:ilvl w:val="0"/>
          <w:numId w:val="2"/>
        </w:numPr>
      </w:pPr>
      <w:r>
        <w:t>操作手柄具备左右旋转关节和转轴定位点，可带动插入软管部先端左右旋转，向左120°，向右120°。</w:t>
      </w:r>
    </w:p>
    <w:p w14:paraId="6BA287C4">
      <w:pPr>
        <w:pStyle w:val="25"/>
        <w:numPr>
          <w:ilvl w:val="0"/>
          <w:numId w:val="2"/>
        </w:numPr>
      </w:pPr>
      <w:r>
        <w:t>吸引阀座一体式防脱设计，解决吸引按钮易脱落的临床风险，无需专机专用耗材。</w:t>
      </w:r>
    </w:p>
    <w:p w14:paraId="33AAEA20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10.</w:t>
      </w:r>
      <w:r>
        <w:t>操作手柄上按键可控制大小屏切换功能。</w:t>
      </w:r>
    </w:p>
    <w:p w14:paraId="4120245D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11.</w:t>
      </w:r>
      <w:r>
        <w:t>操作手柄上按键可控制拍照录像功能，可在图像冻结或录像的同时进行拍照。</w:t>
      </w:r>
    </w:p>
    <w:p w14:paraId="5888FCEC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12.</w:t>
      </w:r>
      <w:r>
        <w:t>操作手柄上按键可控制图像冻结和解冻功能，提升病灶部位诊断精确度。</w:t>
      </w:r>
    </w:p>
    <w:p w14:paraId="30AD10D7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13.</w:t>
      </w:r>
      <w:r>
        <w:t>内置LED冷光源，内镜镜头具备防雾功能，无需预热即可观察。</w:t>
      </w:r>
    </w:p>
    <w:p w14:paraId="30F6EB4D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14.</w:t>
      </w:r>
      <w:r>
        <w:t>连接方式：采用立体式航空插座技术连接，有效避免传统点触式连接长时间使用后接触不良造成死机、卡屏。</w:t>
      </w:r>
    </w:p>
    <w:p w14:paraId="1EEA6C1C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15.</w:t>
      </w:r>
      <w:r>
        <w:t>操作部防水等级：≥IPX7。配备防水盖，可进行全浸泡消毒。</w:t>
      </w:r>
    </w:p>
    <w:p w14:paraId="6B94481B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16.</w:t>
      </w:r>
      <w:r>
        <w:t>消毒灭菌无需ETO帽、NT阀，无需更换配件。</w:t>
      </w:r>
    </w:p>
    <w:bookmarkEnd w:id="0"/>
    <w:p w14:paraId="5E82EB5B">
      <w:pPr>
        <w:pStyle w:val="5"/>
        <w:numPr>
          <w:numId w:val="0"/>
        </w:numPr>
        <w:ind w:left="400" w:leftChars="0"/>
      </w:pPr>
      <w:bookmarkStart w:id="1" w:name="二超细镜"/>
      <w:r>
        <w:t>二、超细镜</w:t>
      </w:r>
    </w:p>
    <w:p w14:paraId="08070204">
      <w:pPr>
        <w:pStyle w:val="25"/>
        <w:numPr>
          <w:ilvl w:val="0"/>
          <w:numId w:val="3"/>
        </w:numPr>
      </w:pPr>
      <w:r>
        <w:t>成像原理：电子成像技术，工作软管不含导像、导光纤维。</w:t>
      </w:r>
    </w:p>
    <w:p w14:paraId="3F8E1877">
      <w:pPr>
        <w:pStyle w:val="25"/>
        <w:numPr>
          <w:ilvl w:val="0"/>
          <w:numId w:val="3"/>
        </w:numPr>
      </w:pPr>
      <w:r>
        <w:t>适用范围：适用于气管、支气管及肺的观察、诊断、摄影或辅助治疗。</w:t>
      </w:r>
    </w:p>
    <w:p w14:paraId="489E019B">
      <w:pPr>
        <w:pStyle w:val="25"/>
        <w:numPr>
          <w:ilvl w:val="0"/>
          <w:numId w:val="3"/>
        </w:numPr>
      </w:pPr>
      <w:r>
        <w:t>软镜插入管外径≤3mm，工作管道内径≥1.5mm。</w:t>
      </w:r>
    </w:p>
    <w:p w14:paraId="5B4D622F">
      <w:pPr>
        <w:pStyle w:val="25"/>
        <w:numPr>
          <w:ilvl w:val="0"/>
          <w:numId w:val="3"/>
        </w:numPr>
      </w:pPr>
      <w:r>
        <w:t>插入部有效长度≥600mm，自带有360°刻度标识，有利于操作者辨别诊治时的插入长度。</w:t>
      </w:r>
    </w:p>
    <w:p w14:paraId="3AD0ABF5">
      <w:pPr>
        <w:pStyle w:val="25"/>
        <w:numPr>
          <w:ilvl w:val="0"/>
          <w:numId w:val="3"/>
        </w:numPr>
      </w:pPr>
      <w:r>
        <w:t>视场角≥120°。</w:t>
      </w:r>
    </w:p>
    <w:p w14:paraId="593CDCE6">
      <w:pPr>
        <w:pStyle w:val="25"/>
        <w:numPr>
          <w:ilvl w:val="0"/>
          <w:numId w:val="3"/>
        </w:numPr>
      </w:pPr>
      <w:r>
        <w:t>景深：3 - 100mm。</w:t>
      </w:r>
    </w:p>
    <w:p w14:paraId="3FD1E63C">
      <w:pPr>
        <w:pStyle w:val="25"/>
        <w:numPr>
          <w:ilvl w:val="0"/>
          <w:numId w:val="3"/>
        </w:numPr>
      </w:pPr>
      <w:r>
        <w:t>插入管软管前端弯曲角度：向上弯曲≥180°，向下弯曲≥130°，双向弯曲≥300°。</w:t>
      </w:r>
    </w:p>
    <w:p w14:paraId="71B73C98">
      <w:pPr>
        <w:pStyle w:val="25"/>
        <w:numPr>
          <w:ilvl w:val="0"/>
          <w:numId w:val="3"/>
        </w:numPr>
      </w:pPr>
      <w:r>
        <w:t>操作手柄具备左右旋转关节和转轴定位点，可带动插入软管部先端左右旋转，向左120°，向右120°。</w:t>
      </w:r>
    </w:p>
    <w:p w14:paraId="2FA019E5">
      <w:pPr>
        <w:pStyle w:val="25"/>
        <w:numPr>
          <w:ilvl w:val="0"/>
          <w:numId w:val="3"/>
        </w:numPr>
      </w:pPr>
      <w:r>
        <w:t>吸引阀座一体式防脱设计，解决吸引按钮易脱落的临床风险，无需专机专用耗材。</w:t>
      </w:r>
    </w:p>
    <w:p w14:paraId="61874F40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10.</w:t>
      </w:r>
      <w:r>
        <w:t>操作手柄上按键可控制大小屏切换功能。</w:t>
      </w:r>
    </w:p>
    <w:p w14:paraId="748D0FDE">
      <w:pPr>
        <w:pStyle w:val="25"/>
        <w:numPr>
          <w:numId w:val="0"/>
        </w:numPr>
        <w:ind w:firstLine="1200" w:firstLineChars="500"/>
      </w:pPr>
      <w:r>
        <w:rPr>
          <w:rFonts w:hint="eastAsia"/>
          <w:lang w:val="en-US" w:eastAsia="zh-CN"/>
        </w:rPr>
        <w:t>11.</w:t>
      </w:r>
      <w:r>
        <w:t>操作手柄上按键可控制拍照录像功能，可在图像冻结或录像的同时进行拍照。</w:t>
      </w:r>
    </w:p>
    <w:p w14:paraId="6DE95006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12.</w:t>
      </w:r>
      <w:r>
        <w:t>操作手柄上按键可控制图像冻结和解冻功能，提升病灶部位诊断精确度。</w:t>
      </w:r>
    </w:p>
    <w:p w14:paraId="4C2C9F93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13.</w:t>
      </w:r>
      <w:r>
        <w:t>内置LED冷光源，内镜镜头具备防雾功能，无需预热即可观察。</w:t>
      </w:r>
    </w:p>
    <w:p w14:paraId="39C78D87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14.</w:t>
      </w:r>
      <w:r>
        <w:t>能通过3.5号及以上气管导管。</w:t>
      </w:r>
    </w:p>
    <w:p w14:paraId="6932FD15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15.</w:t>
      </w:r>
      <w:r>
        <w:t>连接方式：采用立体式航空插座技术连接，有效避免传统点触式连接长时间使用后接触不良造成死机、卡屏。</w:t>
      </w:r>
    </w:p>
    <w:p w14:paraId="54C5BA05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16.</w:t>
      </w:r>
      <w:r>
        <w:t>操作部防水等级：≥IPX7。配备防水盖，可进行全浸泡消毒。</w:t>
      </w:r>
    </w:p>
    <w:p w14:paraId="7E23EF49">
      <w:pPr>
        <w:pStyle w:val="25"/>
        <w:numPr>
          <w:numId w:val="0"/>
        </w:numPr>
        <w:ind w:leftChars="200" w:firstLine="720" w:firstLineChars="300"/>
      </w:pPr>
      <w:r>
        <w:rPr>
          <w:rFonts w:hint="eastAsia"/>
          <w:lang w:val="en-US" w:eastAsia="zh-CN"/>
        </w:rPr>
        <w:t>17.</w:t>
      </w:r>
      <w:r>
        <w:t>消毒灭菌无需ETO帽、NT阀，无需更换配件。</w:t>
      </w:r>
    </w:p>
    <w:bookmarkEnd w:id="1"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99411"/>
    <w:multiLevelType w:val="multilevel"/>
    <w:tmpl w:val="00A99411"/>
    <w:lvl w:ilvl="0" w:tentative="0">
      <w:start w:val="1"/>
      <w:numFmt w:val="decimal"/>
      <w:lvlText w:val="%1."/>
      <w:lvlJc w:val="left"/>
      <w:pPr>
        <w:ind w:left="720" w:hanging="480"/>
      </w:pPr>
    </w:lvl>
    <w:lvl w:ilvl="1" w:tentative="0">
      <w:start w:val="1"/>
      <w:numFmt w:val="decimal"/>
      <w:lvlText w:val="%2."/>
      <w:lvlJc w:val="left"/>
      <w:pPr>
        <w:ind w:left="1440" w:hanging="480"/>
      </w:pPr>
    </w:lvl>
    <w:lvl w:ilvl="2" w:tentative="0">
      <w:start w:val="1"/>
      <w:numFmt w:val="decimal"/>
      <w:lvlText w:val="%3."/>
      <w:lvlJc w:val="lef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880" w:hanging="480"/>
      </w:pPr>
    </w:lvl>
    <w:lvl w:ilvl="4" w:tentative="0">
      <w:start w:val="1"/>
      <w:numFmt w:val="decimal"/>
      <w:lvlText w:val="%5."/>
      <w:lvlJc w:val="left"/>
      <w:pPr>
        <w:ind w:left="3600" w:hanging="480"/>
      </w:pPr>
    </w:lvl>
    <w:lvl w:ilvl="5" w:tentative="0">
      <w:start w:val="1"/>
      <w:numFmt w:val="decimal"/>
      <w:lvlText w:val="%6."/>
      <w:lvlJc w:val="left"/>
      <w:pPr>
        <w:ind w:left="4320" w:hanging="480"/>
      </w:pPr>
    </w:lvl>
    <w:lvl w:ilvl="6" w:tentative="0">
      <w:start w:val="1"/>
      <w:numFmt w:val="decimal"/>
      <w:lvlText w:val="%7."/>
      <w:lvlJc w:val="left"/>
      <w:pPr>
        <w:ind w:left="5040" w:hanging="480"/>
      </w:pPr>
    </w:lvl>
    <w:lvl w:ilvl="7" w:tentative="0">
      <w:start w:val="1"/>
      <w:numFmt w:val="decimal"/>
      <w:lvlText w:val="%8."/>
      <w:lvlJc w:val="left"/>
      <w:pPr>
        <w:ind w:left="5760" w:hanging="480"/>
      </w:pPr>
    </w:lvl>
    <w:lvl w:ilvl="8" w:tentative="0">
      <w:start w:val="1"/>
      <w:numFmt w:val="decimal"/>
      <w:lvlText w:val="%9."/>
      <w:lvlJc w:val="left"/>
      <w:pPr>
        <w:ind w:left="6480" w:hanging="480"/>
      </w:pPr>
    </w:lvl>
  </w:abstractNum>
  <w:abstractNum w:abstractNumId="1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000000"/>
    <w:rsid w:val="3557356D"/>
    <w:rsid w:val="799139C7"/>
    <w:rsid w:val="7BB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numPr>
        <w:ilvl w:val="0"/>
        <w:numId w:val="0"/>
      </w:numPr>
      <w:tabs>
        <w:tab w:val="left" w:pos="0"/>
      </w:tabs>
      <w:spacing w:before="480" w:after="0"/>
      <w:jc w:val="center"/>
      <w:outlineLvl w:val="0"/>
    </w:pPr>
    <w:rPr>
      <w:rFonts w:cstheme="majorBidi"/>
      <w:b/>
      <w:bCs/>
      <w:color w:val="auto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rFonts w:ascii="微软雅黑" w:hAnsi="微软雅黑" w:eastAsia="微软雅黑" w:cstheme="majorBidi"/>
      <w:b/>
      <w:bCs/>
      <w:color w:val="auto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numPr>
        <w:ilvl w:val="2"/>
        <w:numId w:val="1"/>
      </w:numPr>
      <w:spacing w:before="200" w:after="0"/>
      <w:ind w:firstLine="400"/>
      <w:outlineLvl w:val="2"/>
    </w:pPr>
    <w:rPr>
      <w:rFonts w:ascii="微软雅黑" w:hAnsi="微软雅黑" w:eastAsia="微软雅黑" w:cstheme="majorBidi"/>
      <w:b/>
      <w:bCs/>
      <w:color w:val="auto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numPr>
        <w:ilvl w:val="3"/>
        <w:numId w:val="1"/>
      </w:numPr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numPr>
        <w:ilvl w:val="4"/>
        <w:numId w:val="1"/>
      </w:numPr>
      <w:spacing w:before="200" w:after="0"/>
      <w:ind w:firstLine="402"/>
      <w:outlineLvl w:val="4"/>
    </w:pPr>
    <w:rPr>
      <w:rFonts w:ascii="微软雅黑" w:hAnsi="微软雅黑" w:eastAsia="微软雅黑" w:cstheme="majorBidi"/>
      <w:iCs/>
      <w:color w:val="auto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numPr>
        <w:ilvl w:val="5"/>
        <w:numId w:val="1"/>
      </w:numPr>
      <w:spacing w:before="200" w:after="0"/>
      <w:ind w:firstLine="402"/>
      <w:outlineLvl w:val="5"/>
    </w:pPr>
    <w:rPr>
      <w:rFonts w:ascii="微软雅黑" w:hAnsi="微软雅黑" w:eastAsia="微软雅黑" w:cstheme="majorBidi"/>
      <w:color w:val="auto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numPr>
        <w:ilvl w:val="6"/>
        <w:numId w:val="1"/>
      </w:numPr>
      <w:spacing w:before="200" w:after="0"/>
      <w:ind w:firstLine="402"/>
      <w:outlineLvl w:val="6"/>
    </w:pPr>
    <w:rPr>
      <w:rFonts w:ascii="微软雅黑" w:hAnsi="微软雅黑" w:eastAsia="微软雅黑" w:cstheme="majorBidi"/>
      <w:color w:val="auto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numPr>
        <w:ilvl w:val="7"/>
        <w:numId w:val="1"/>
      </w:numPr>
      <w:spacing w:before="200" w:after="0"/>
      <w:ind w:firstLine="402"/>
      <w:outlineLvl w:val="7"/>
    </w:pPr>
    <w:rPr>
      <w:rFonts w:ascii="微软雅黑" w:hAnsi="微软雅黑" w:eastAsia="微软雅黑" w:cstheme="majorBidi"/>
      <w:color w:val="auto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numPr>
        <w:ilvl w:val="8"/>
        <w:numId w:val="1"/>
      </w:numPr>
      <w:spacing w:before="200" w:after="0"/>
      <w:ind w:firstLine="402"/>
      <w:outlineLvl w:val="8"/>
    </w:pPr>
    <w:rPr>
      <w:rFonts w:ascii="微软雅黑" w:hAnsi="微软雅黑" w:eastAsia="微软雅黑" w:cstheme="majorBidi"/>
      <w:color w:val="auto"/>
    </w:rPr>
  </w:style>
  <w:style w:type="character" w:default="1" w:styleId="20">
    <w:name w:val="Default Paragraph Font"/>
    <w:semiHidden/>
    <w:unhideWhenUsed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before="180" w:after="180"/>
      <w:ind w:firstLine="560" w:firstLineChars="200"/>
      <w:jc w:val="both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rFonts w:ascii="微软雅黑" w:hAnsi="微软雅黑"/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="微软雅黑" w:hAnsi="微软雅黑" w:eastAsia="微软雅黑" w:cstheme="majorBidi"/>
      <w:b/>
      <w:bCs/>
      <w:color w:val="auto"/>
      <w:sz w:val="36"/>
      <w:szCs w:val="36"/>
    </w:rPr>
  </w:style>
  <w:style w:type="paragraph" w:styleId="17">
    <w:name w:val="footnote text"/>
    <w:basedOn w:val="1"/>
    <w:unhideWhenUsed/>
    <w:qFormat/>
    <w:uiPriority w:val="9"/>
    <w:rPr>
      <w:rFonts w:ascii="微软雅黑" w:hAnsi="微软雅黑" w:eastAsia="微软雅黑"/>
    </w:rPr>
  </w:style>
  <w:style w:type="paragraph" w:styleId="18">
    <w:name w:val="Normal (Web)"/>
    <w:basedOn w:val="1"/>
    <w:qFormat/>
    <w:uiPriority w:val="0"/>
    <w:pPr>
      <w:spacing w:before="-2147483648" w:beforeAutospacing="1" w:after="-2147483648" w:afterAutospacing="1"/>
      <w:ind w:left="0" w:right="0" w:firstLine="560" w:firstLineChars="200"/>
      <w:jc w:val="both"/>
    </w:pPr>
    <w:rPr>
      <w:rFonts w:ascii="微软雅黑" w:hAnsi="微软雅黑" w:eastAsia="微软雅黑"/>
      <w:lang w:eastAsia="zh-CN" w:bidi="ar"/>
    </w:rPr>
  </w:style>
  <w:style w:type="character" w:styleId="21">
    <w:name w:val="Hyperlink"/>
    <w:basedOn w:val="22"/>
    <w:qFormat/>
    <w:uiPriority w:val="0"/>
    <w:rPr>
      <w:color w:val="0070C0"/>
      <w:u w:val="single"/>
    </w:rPr>
  </w:style>
  <w:style w:type="character" w:customStyle="1" w:styleId="22">
    <w:name w:val="Body Text Char"/>
    <w:basedOn w:val="20"/>
    <w:link w:val="3"/>
    <w:qFormat/>
    <w:uiPriority w:val="0"/>
    <w:rPr>
      <w:rFonts w:ascii="微软雅黑" w:hAnsi="微软雅黑" w:eastAsia="微软雅黑"/>
    </w:rPr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3"/>
    <w:next w:val="3"/>
    <w:qFormat/>
    <w:uiPriority w:val="0"/>
    <w:pPr>
      <w:ind w:firstLine="720" w:firstLineChars="200"/>
      <w:jc w:val="both"/>
    </w:pPr>
  </w:style>
  <w:style w:type="paragraph" w:customStyle="1" w:styleId="25">
    <w:name w:val="Compact"/>
    <w:basedOn w:val="3"/>
    <w:qFormat/>
    <w:uiPriority w:val="0"/>
    <w:pPr>
      <w:spacing w:before="36" w:after="36"/>
    </w:pPr>
  </w:style>
  <w:style w:type="paragraph" w:customStyle="1" w:styleId="26">
    <w:name w:val="Author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customStyle="1" w:styleId="27">
    <w:name w:val="Abstract Title"/>
    <w:basedOn w:val="1"/>
    <w:next w:val="28"/>
    <w:qFormat/>
    <w:uiPriority w:val="0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100" w:after="300"/>
    </w:pPr>
    <w:rPr>
      <w:rFonts w:ascii="微软雅黑" w:hAnsi="微软雅黑" w:eastAsia="微软雅黑"/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paragraph" w:customStyle="1" w:styleId="30">
    <w:name w:val="Footnote Block Text"/>
    <w:unhideWhenUsed/>
    <w:qFormat/>
    <w:uiPriority w:val="9"/>
    <w:pPr>
      <w:spacing w:before="100" w:after="100"/>
      <w:ind w:left="480" w:right="480" w:firstLine="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table" w:customStyle="1" w:styleId="31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2">
    <w:name w:val="Definition Term"/>
    <w:basedOn w:val="1"/>
    <w:next w:val="33"/>
    <w:qFormat/>
    <w:uiPriority w:val="0"/>
    <w:pPr>
      <w:keepNext/>
      <w:keepLines/>
      <w:spacing w:after="0"/>
    </w:pPr>
    <w:rPr>
      <w:rFonts w:ascii="微软雅黑" w:hAnsi="微软雅黑" w:eastAsia="微软雅黑"/>
      <w:b/>
    </w:rPr>
  </w:style>
  <w:style w:type="paragraph" w:customStyle="1" w:styleId="33">
    <w:name w:val="Definition"/>
    <w:basedOn w:val="1"/>
    <w:qFormat/>
    <w:uiPriority w:val="0"/>
    <w:rPr>
      <w:rFonts w:ascii="微软雅黑" w:hAnsi="微软雅黑" w:eastAsia="微软雅黑"/>
    </w:rPr>
  </w:style>
  <w:style w:type="paragraph" w:customStyle="1" w:styleId="34">
    <w:name w:val="Table Caption"/>
    <w:basedOn w:val="12"/>
    <w:qFormat/>
    <w:uiPriority w:val="0"/>
    <w:pPr>
      <w:keepNext/>
    </w:pPr>
    <w:rPr>
      <w:rFonts w:ascii="微软雅黑" w:hAnsi="微软雅黑" w:eastAsia="微软雅黑"/>
    </w:rPr>
  </w:style>
  <w:style w:type="paragraph" w:customStyle="1" w:styleId="35">
    <w:name w:val="Image Caption"/>
    <w:basedOn w:val="12"/>
    <w:qFormat/>
    <w:uiPriority w:val="0"/>
    <w:rPr>
      <w:rFonts w:ascii="微软雅黑" w:hAnsi="微软雅黑" w:eastAsia="微软雅黑"/>
    </w:rPr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2"/>
    <w:qFormat/>
    <w:uiPriority w:val="0"/>
    <w:rPr>
      <w:rFonts w:ascii="Consolas" w:hAnsi="Consolas"/>
      <w:sz w:val="22"/>
    </w:rPr>
  </w:style>
  <w:style w:type="character" w:customStyle="1" w:styleId="39">
    <w:name w:val="Section Number"/>
    <w:basedOn w:val="22"/>
    <w:qFormat/>
    <w:uiPriority w:val="0"/>
  </w:style>
  <w:style w:type="paragraph" w:customStyle="1" w:styleId="40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paragraph" w:customStyle="1" w:styleId="41">
    <w:name w:val="Source Code"/>
    <w:qFormat/>
    <w:uiPriority w:val="0"/>
    <w:pPr>
      <w:wordWrap w:val="0"/>
    </w:pPr>
    <w:rPr>
      <w:rFonts w:asciiTheme="minorHAnsi" w:hAnsiTheme="minorHAnsi" w:eastAsiaTheme="minorHAnsi" w:cstheme="minorBidi"/>
    </w:rPr>
  </w:style>
  <w:style w:type="character" w:customStyle="1" w:styleId="42">
    <w:name w:val="KeywordTok"/>
    <w:qFormat/>
    <w:uiPriority w:val="0"/>
    <w:rPr>
      <w:b/>
      <w:color w:val="007020"/>
    </w:rPr>
  </w:style>
  <w:style w:type="character" w:customStyle="1" w:styleId="43">
    <w:name w:val="DataTypeTok"/>
    <w:qFormat/>
    <w:uiPriority w:val="0"/>
    <w:rPr>
      <w:color w:val="902000"/>
    </w:rPr>
  </w:style>
  <w:style w:type="character" w:customStyle="1" w:styleId="44">
    <w:name w:val="DecValTok"/>
    <w:qFormat/>
    <w:uiPriority w:val="0"/>
    <w:rPr>
      <w:color w:val="40A070"/>
    </w:rPr>
  </w:style>
  <w:style w:type="character" w:customStyle="1" w:styleId="45">
    <w:name w:val="BaseNTok"/>
    <w:qFormat/>
    <w:uiPriority w:val="0"/>
    <w:rPr>
      <w:color w:val="40A070"/>
    </w:rPr>
  </w:style>
  <w:style w:type="character" w:customStyle="1" w:styleId="46">
    <w:name w:val="FloatTok"/>
    <w:qFormat/>
    <w:uiPriority w:val="0"/>
    <w:rPr>
      <w:color w:val="40A070"/>
    </w:rPr>
  </w:style>
  <w:style w:type="character" w:customStyle="1" w:styleId="47">
    <w:name w:val="ConstantTok"/>
    <w:qFormat/>
    <w:uiPriority w:val="0"/>
    <w:rPr>
      <w:color w:val="880000"/>
    </w:rPr>
  </w:style>
  <w:style w:type="character" w:customStyle="1" w:styleId="48">
    <w:name w:val="CharTok"/>
    <w:qFormat/>
    <w:uiPriority w:val="0"/>
    <w:rPr>
      <w:color w:val="4070A0"/>
    </w:rPr>
  </w:style>
  <w:style w:type="character" w:customStyle="1" w:styleId="49">
    <w:name w:val="SpecialCharTok"/>
    <w:qFormat/>
    <w:uiPriority w:val="0"/>
    <w:rPr>
      <w:color w:val="4070A0"/>
    </w:rPr>
  </w:style>
  <w:style w:type="character" w:customStyle="1" w:styleId="50">
    <w:name w:val="StringTok"/>
    <w:qFormat/>
    <w:uiPriority w:val="0"/>
    <w:rPr>
      <w:color w:val="4070A0"/>
    </w:rPr>
  </w:style>
  <w:style w:type="character" w:customStyle="1" w:styleId="51">
    <w:name w:val="VerbatimStringTok"/>
    <w:qFormat/>
    <w:uiPriority w:val="0"/>
    <w:rPr>
      <w:color w:val="4070A0"/>
    </w:rPr>
  </w:style>
  <w:style w:type="character" w:customStyle="1" w:styleId="52">
    <w:name w:val="SpecialStringTok"/>
    <w:qFormat/>
    <w:uiPriority w:val="0"/>
    <w:rPr>
      <w:color w:val="BB6688"/>
    </w:rPr>
  </w:style>
  <w:style w:type="character" w:customStyle="1" w:styleId="53">
    <w:name w:val="ImportTok"/>
    <w:qFormat/>
    <w:uiPriority w:val="0"/>
    <w:rPr>
      <w:b/>
      <w:color w:val="008000"/>
    </w:rPr>
  </w:style>
  <w:style w:type="character" w:customStyle="1" w:styleId="54">
    <w:name w:val="CommentTok"/>
    <w:qFormat/>
    <w:uiPriority w:val="0"/>
    <w:rPr>
      <w:i/>
      <w:color w:val="60A0B0"/>
    </w:rPr>
  </w:style>
  <w:style w:type="character" w:customStyle="1" w:styleId="55">
    <w:name w:val="DocumentationTok"/>
    <w:qFormat/>
    <w:uiPriority w:val="0"/>
    <w:rPr>
      <w:i/>
      <w:color w:val="BA2121"/>
    </w:rPr>
  </w:style>
  <w:style w:type="character" w:customStyle="1" w:styleId="56">
    <w:name w:val="AnnotationTok"/>
    <w:qFormat/>
    <w:uiPriority w:val="0"/>
    <w:rPr>
      <w:b/>
      <w:i/>
      <w:color w:val="60A0B0"/>
    </w:rPr>
  </w:style>
  <w:style w:type="character" w:customStyle="1" w:styleId="57">
    <w:name w:val="CommentVarTok"/>
    <w:qFormat/>
    <w:uiPriority w:val="0"/>
    <w:rPr>
      <w:b/>
      <w:i/>
      <w:color w:val="60A0B0"/>
    </w:rPr>
  </w:style>
  <w:style w:type="character" w:customStyle="1" w:styleId="58">
    <w:name w:val="OtherTok"/>
    <w:qFormat/>
    <w:uiPriority w:val="0"/>
    <w:rPr>
      <w:color w:val="007020"/>
    </w:rPr>
  </w:style>
  <w:style w:type="character" w:customStyle="1" w:styleId="59">
    <w:name w:val="FunctionTok"/>
    <w:qFormat/>
    <w:uiPriority w:val="0"/>
    <w:rPr>
      <w:color w:val="06287E"/>
    </w:rPr>
  </w:style>
  <w:style w:type="character" w:customStyle="1" w:styleId="60">
    <w:name w:val="VariableTok"/>
    <w:qFormat/>
    <w:uiPriority w:val="0"/>
    <w:rPr>
      <w:color w:val="19177C"/>
    </w:rPr>
  </w:style>
  <w:style w:type="character" w:customStyle="1" w:styleId="61">
    <w:name w:val="ControlFlowTok"/>
    <w:qFormat/>
    <w:uiPriority w:val="0"/>
    <w:rPr>
      <w:b/>
      <w:color w:val="007020"/>
    </w:rPr>
  </w:style>
  <w:style w:type="character" w:customStyle="1" w:styleId="62">
    <w:name w:val="OperatorTok"/>
    <w:qFormat/>
    <w:uiPriority w:val="0"/>
    <w:rPr>
      <w:color w:val="666666"/>
    </w:rPr>
  </w:style>
  <w:style w:type="character" w:customStyle="1" w:styleId="63">
    <w:name w:val="BuiltInTok"/>
    <w:qFormat/>
    <w:uiPriority w:val="0"/>
    <w:rPr>
      <w:color w:val="008000"/>
    </w:rPr>
  </w:style>
  <w:style w:type="character" w:customStyle="1" w:styleId="64">
    <w:name w:val="ExtensionTok"/>
    <w:qFormat/>
    <w:uiPriority w:val="0"/>
  </w:style>
  <w:style w:type="character" w:customStyle="1" w:styleId="65">
    <w:name w:val="PreprocessorTok"/>
    <w:qFormat/>
    <w:uiPriority w:val="0"/>
    <w:rPr>
      <w:color w:val="BC7A00"/>
    </w:rPr>
  </w:style>
  <w:style w:type="character" w:customStyle="1" w:styleId="66">
    <w:name w:val="AttributeTok"/>
    <w:qFormat/>
    <w:uiPriority w:val="0"/>
    <w:rPr>
      <w:color w:val="7D9029"/>
    </w:rPr>
  </w:style>
  <w:style w:type="character" w:customStyle="1" w:styleId="67">
    <w:name w:val="RegionMarkerTok"/>
    <w:qFormat/>
    <w:uiPriority w:val="0"/>
  </w:style>
  <w:style w:type="character" w:customStyle="1" w:styleId="68">
    <w:name w:val="InformationTok"/>
    <w:qFormat/>
    <w:uiPriority w:val="0"/>
    <w:rPr>
      <w:b/>
      <w:i/>
      <w:color w:val="60A0B0"/>
    </w:rPr>
  </w:style>
  <w:style w:type="character" w:customStyle="1" w:styleId="69">
    <w:name w:val="WarningTok"/>
    <w:qFormat/>
    <w:uiPriority w:val="0"/>
    <w:rPr>
      <w:b/>
      <w:i/>
      <w:color w:val="60A0B0"/>
    </w:rPr>
  </w:style>
  <w:style w:type="character" w:customStyle="1" w:styleId="70">
    <w:name w:val="AlertTok"/>
    <w:qFormat/>
    <w:uiPriority w:val="0"/>
    <w:rPr>
      <w:b/>
      <w:color w:val="FF0000"/>
    </w:rPr>
  </w:style>
  <w:style w:type="character" w:customStyle="1" w:styleId="71">
    <w:name w:val="ErrorTok"/>
    <w:qFormat/>
    <w:uiPriority w:val="0"/>
    <w:rPr>
      <w:b/>
      <w:color w:val="FF0000"/>
    </w:rPr>
  </w:style>
  <w:style w:type="character" w:customStyle="1" w:styleId="72">
    <w:name w:val="NormalTo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917</Words>
  <Characters>989</Characters>
  <Lines>12</Lines>
  <Paragraphs>8</Paragraphs>
  <TotalTime>0</TotalTime>
  <ScaleCrop>false</ScaleCrop>
  <LinksUpToDate>false</LinksUpToDate>
  <CharactersWithSpaces>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2025-04-01T00:52:00Z</dcterms:created>
  <dc:creator>DCX</dc:creator>
  <cp:lastModifiedBy>DCX</cp:lastModifiedBy>
  <dcterms:modified xsi:type="dcterms:W3CDTF">2025-04-01T00:54:58Z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eyJoZGlkIjoiZmQwYTg1Zjk5YTM4NzlkNzBiMjk1ZTVlNWY5MGM2MTQiLCJ1c2VySWQiOiIxNjc4NTQ2NjE3In0=</vt:lpwstr>
  </property>
  <property fmtid="{D5CDD505-2E9C-101B-9397-08002B2CF9AE}" pid="3" name="KSOProductBuildVer">
    <vt:lpwstr>2052-12.1.0.20305</vt:lpwstr>
  </property>
  <property fmtid="{D5CDD505-2E9C-101B-9397-08002B2CF9AE}" pid="4" name="ICV">
    <vt:lpwstr>3EFAA956EDEB4AFA86FB6A17AF1B0199_12</vt:lpwstr>
  </property>
</Properties>
</file>