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医用吊塔参数要求</w:t>
      </w:r>
    </w:p>
    <w:p w14:paraId="1189CDAB">
      <w:pPr>
        <w:ind w:left="426"/>
        <w:rPr>
          <w:rFonts w:hint="eastAsia"/>
          <w:b/>
          <w:bCs w:val="0"/>
          <w:sz w:val="24"/>
          <w:szCs w:val="32"/>
          <w:lang w:eastAsia="zh-CN"/>
        </w:rPr>
      </w:pPr>
      <w:r>
        <w:rPr>
          <w:rFonts w:hint="eastAsia"/>
          <w:b/>
          <w:bCs w:val="0"/>
          <w:sz w:val="24"/>
          <w:szCs w:val="32"/>
          <w:lang w:eastAsia="zh-CN"/>
        </w:rPr>
        <w:t>一、干湿分区吊塔 3套</w:t>
      </w:r>
    </w:p>
    <w:p w14:paraId="087BC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双臂双塔设计，确保病患可以获得全方位的护理，包括头部至脚部，护理无死伟”</w:t>
      </w:r>
    </w:p>
    <w:p w14:paraId="3A033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b/>
          <w:bCs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Arial" w:hAnsi="Arial" w:cs="Arial"/>
          <w:b/>
          <w:bCs/>
          <w:color w:val="00000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Arial" w:hAnsi="Arial" w:cs="Arial" w:eastAsiaTheme="minorEastAsia"/>
          <w:b/>
          <w:bCs/>
          <w:color w:val="000000"/>
          <w:kern w:val="2"/>
          <w:sz w:val="21"/>
          <w:szCs w:val="21"/>
          <w:lang w:val="en-US" w:eastAsia="zh-CN" w:bidi="ar-SA"/>
        </w:rPr>
        <w:t>设备塔(干区)</w:t>
      </w:r>
    </w:p>
    <w:p w14:paraId="02261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1)吊塔最大承重≥650Kg，同时满足四倍承重系数安全负载要求。</w:t>
      </w:r>
    </w:p>
    <w:p w14:paraId="54FE1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2)双臂，活动范围(臂长)≥1250mm。</w:t>
      </w:r>
    </w:p>
    <w:p w14:paraId="5B817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3)仪器平台:2个(平台固定于垂直箱体上，非吊架式)，其中1个带操作把手和侧边导轨。</w:t>
      </w:r>
    </w:p>
    <w:p w14:paraId="463F1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4)抽屉1个。</w:t>
      </w:r>
    </w:p>
    <w:p w14:paraId="3D702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5)箱体高度≥1000mm。</w:t>
      </w:r>
    </w:p>
    <w:p w14:paraId="2CF9B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6)气源数量:氧气2个;负压2个:压缩空气1个(进口材质)。</w:t>
      </w:r>
    </w:p>
    <w:p w14:paraId="48E9C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7)电源插座:10个多功能插座(带4个等电位接地端子)。</w:t>
      </w:r>
    </w:p>
    <w:p w14:paraId="45237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8)六类网络数据接口2个。</w:t>
      </w:r>
    </w:p>
    <w:p w14:paraId="2CE82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9)不锈钢篮1个</w:t>
      </w:r>
    </w:p>
    <w:p w14:paraId="5A673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10)电缆穿线管1根</w:t>
      </w:r>
    </w:p>
    <w:p w14:paraId="2A60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11)弱电预留开孔1个</w:t>
      </w:r>
    </w:p>
    <w:p w14:paraId="57C9F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12）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吊塔气电箱体带有气体泄流孔，避免气电箱体内氧气蓄积所引发的火灾风险，依据ISO 11197 201.11.2.2.101要求，在模拟氧气泄露流量≥1L/min时，腔体内部的氧气浓度≤25%。</w:t>
      </w:r>
    </w:p>
    <w:p w14:paraId="53CE8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b/>
          <w:bCs/>
          <w:color w:val="000000"/>
          <w:kern w:val="2"/>
          <w:sz w:val="21"/>
          <w:szCs w:val="21"/>
          <w:lang w:val="en-US" w:eastAsia="zh-CN" w:bidi="ar-SA"/>
        </w:rPr>
        <w:t>3、输液塔(湿区)</w:t>
      </w:r>
    </w:p>
    <w:p w14:paraId="0CDC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1)吊塔最大承重≥650Kg，同时满足四倍承重系数安全负载要求。</w:t>
      </w:r>
    </w:p>
    <w:p w14:paraId="19185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2)单臂，活动范围(臂长)≥1000mm。</w:t>
      </w:r>
    </w:p>
    <w:p w14:paraId="020DC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3)箱体高度≥1000mm。</w:t>
      </w:r>
    </w:p>
    <w:p w14:paraId="39A02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4)仪器平台:1个(平台固定于垂直箱体上，非吊架式)，带操作把手和侧边号轨。</w:t>
      </w:r>
    </w:p>
    <w:p w14:paraId="68780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5)抽屉1个。</w:t>
      </w:r>
    </w:p>
    <w:p w14:paraId="61EF4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6）气源数量：氧气1个；负压2个；压缩空气1个（进口材质）</w:t>
      </w:r>
    </w:p>
    <w:p w14:paraId="1B9D1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7）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双关节输液延伸臂一套，输液延伸臂带一键解锁功能。</w:t>
      </w:r>
    </w:p>
    <w:p w14:paraId="22DFA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</w:pPr>
    </w:p>
    <w:p w14:paraId="24879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8）输液杆及十字输液挂钩：1套。</w:t>
      </w:r>
    </w:p>
    <w:p w14:paraId="02798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9)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电缆穿线管1根。</w:t>
      </w:r>
    </w:p>
    <w:p w14:paraId="42BCF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10)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电源插座：8个多功能插座（带4个等电位接地端子）。</w:t>
      </w:r>
    </w:p>
    <w:p w14:paraId="776FC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11)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网络数据接口2个。</w:t>
      </w:r>
    </w:p>
    <w:p w14:paraId="65F5B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）吊塔气电箱体带有气体泄流孔，避免气电箱体内氧气蓄积所引发的火灾风险，依据ISO 11197 201.11.2.2.101要求，在模拟氧气泄露流量≥1L/min时，腔体内部的氧气浓度≤25%。</w:t>
      </w:r>
    </w:p>
    <w:p w14:paraId="51944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 w14:paraId="250C9278">
      <w:pPr>
        <w:ind w:left="426"/>
        <w:rPr>
          <w:rFonts w:hint="eastAsia"/>
          <w:b/>
          <w:bCs w:val="0"/>
          <w:sz w:val="24"/>
          <w:szCs w:val="32"/>
          <w:lang w:val="en-US" w:eastAsia="zh-CN"/>
        </w:rPr>
      </w:pPr>
      <w:r>
        <w:rPr>
          <w:rFonts w:hint="eastAsia"/>
          <w:b/>
          <w:bCs w:val="0"/>
          <w:sz w:val="24"/>
          <w:szCs w:val="32"/>
          <w:lang w:val="en-US" w:eastAsia="zh-CN"/>
        </w:rPr>
        <w:t>二、干湿合一吊塔1套</w:t>
      </w:r>
    </w:p>
    <w:p w14:paraId="063F2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双臂设计，确保病患可以获得全方位的护理，包括头部至脚部，护理无死角</w:t>
      </w:r>
    </w:p>
    <w:p w14:paraId="286A0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设备塔</w:t>
      </w:r>
    </w:p>
    <w:p w14:paraId="506DE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1)双臂，活动范围(臂长)≥1250mm，吊塔最大承重≥650Kg，同时满足四倍承重系数安全负载要求。</w:t>
      </w:r>
    </w:p>
    <w:p w14:paraId="00279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2)仪器平台:4个(平台固定于垂直箱体上，非吊架式)，其中1个带操作把手和侧边导轨</w:t>
      </w:r>
    </w:p>
    <w:p w14:paraId="56A9C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3)抽屉1个。</w:t>
      </w:r>
    </w:p>
    <w:p w14:paraId="7D054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4)箱体高度≥1000mm。</w:t>
      </w:r>
    </w:p>
    <w:p w14:paraId="61E76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5)气源数量:氧气2个:负压2个:压缩空气2个。</w:t>
      </w:r>
    </w:p>
    <w:p w14:paraId="16A0D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6)电源插座:12个多功能插座(带4个等电位接地端子)。</w:t>
      </w:r>
    </w:p>
    <w:p w14:paraId="2FBBB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7)六类网络数据接口2个。</w:t>
      </w:r>
    </w:p>
    <w:p w14:paraId="3C38C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8)不锈钢篮1个</w:t>
      </w:r>
    </w:p>
    <w:p w14:paraId="285D6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9)电缆穿线管1根</w:t>
      </w:r>
    </w:p>
    <w:p w14:paraId="7A0D1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10)弱电预留开孔1个</w:t>
      </w:r>
    </w:p>
    <w:p w14:paraId="7921D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11)输液杆及十字输液挂钩:1套</w:t>
      </w:r>
    </w:p>
    <w:p w14:paraId="603F9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12）双关节输液延伸臂一套，输液延伸臂带一键解锁功能。</w:t>
      </w:r>
    </w:p>
    <w:p w14:paraId="2780D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5"/>
        <w:textAlignment w:val="auto"/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1"/>
          <w:lang w:val="en-US" w:eastAsia="zh-CN" w:bidi="ar-SA"/>
        </w:rPr>
        <w:t>13）吊塔气电箱体带有气体泄流孔，避免气电箱体内氧气蓄积所引发的火灾风险，依据ISO 11197 201.11.2.2.101要求，在模拟氧气泄露流量≥1L/min时，腔体内部的氧气浓度≤25%。</w:t>
      </w:r>
    </w:p>
    <w:p w14:paraId="4CAE8B78">
      <w:pPr>
        <w:numPr>
          <w:ilvl w:val="0"/>
          <w:numId w:val="0"/>
        </w:numPr>
        <w:bidi w:val="0"/>
        <w:spacing w:line="480" w:lineRule="auto"/>
        <w:ind w:leftChars="0"/>
        <w:rPr>
          <w:rFonts w:hint="eastAsia" w:ascii="方正仿宋简体" w:hAnsi="方正仿宋简体" w:eastAsia="方正仿宋简体" w:cs="方正仿宋简体"/>
          <w:b w:val="0"/>
          <w:bCs/>
          <w:snapToGrid w:val="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36371F2"/>
    <w:rsid w:val="064C35A7"/>
    <w:rsid w:val="09F2400E"/>
    <w:rsid w:val="18B122E1"/>
    <w:rsid w:val="1F4D71DF"/>
    <w:rsid w:val="1F9047E7"/>
    <w:rsid w:val="264E4C6D"/>
    <w:rsid w:val="266B0F78"/>
    <w:rsid w:val="2A5547DE"/>
    <w:rsid w:val="2AD95796"/>
    <w:rsid w:val="2C9C2355"/>
    <w:rsid w:val="2CAD5E46"/>
    <w:rsid w:val="2CF85984"/>
    <w:rsid w:val="2ED86B70"/>
    <w:rsid w:val="32E707D2"/>
    <w:rsid w:val="364D41F6"/>
    <w:rsid w:val="37757EA8"/>
    <w:rsid w:val="3CDC5A06"/>
    <w:rsid w:val="3D536596"/>
    <w:rsid w:val="44B33810"/>
    <w:rsid w:val="44EB3558"/>
    <w:rsid w:val="47CC61EF"/>
    <w:rsid w:val="4F141468"/>
    <w:rsid w:val="50AC6291"/>
    <w:rsid w:val="5547521D"/>
    <w:rsid w:val="57574A7D"/>
    <w:rsid w:val="58C214DC"/>
    <w:rsid w:val="5B81031A"/>
    <w:rsid w:val="5BEF797A"/>
    <w:rsid w:val="5D45580D"/>
    <w:rsid w:val="63313D46"/>
    <w:rsid w:val="65BF216B"/>
    <w:rsid w:val="6CF977BD"/>
    <w:rsid w:val="6D333196"/>
    <w:rsid w:val="6FF62C2D"/>
    <w:rsid w:val="725D6F93"/>
    <w:rsid w:val="74E92D60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8">
    <w:name w:val="10"/>
    <w:basedOn w:val="6"/>
    <w:qFormat/>
    <w:uiPriority w:val="0"/>
    <w:rPr>
      <w:rFonts w:hint="default" w:ascii="Calibri" w:hAnsi="Calibri" w:cs="Calibri"/>
    </w:rPr>
  </w:style>
  <w:style w:type="paragraph" w:customStyle="1" w:styleId="9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918</Characters>
  <Lines>1</Lines>
  <Paragraphs>1</Paragraphs>
  <TotalTime>1</TotalTime>
  <ScaleCrop>false</ScaleCrop>
  <LinksUpToDate>false</LinksUpToDate>
  <CharactersWithSpaces>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DCX</cp:lastModifiedBy>
  <cp:lastPrinted>2025-03-10T07:00:00Z</cp:lastPrinted>
  <dcterms:modified xsi:type="dcterms:W3CDTF">2025-03-20T03:34:03Z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