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采购需求</w:t>
      </w:r>
      <w:r>
        <w:rPr>
          <w:rFonts w:hint="eastAsia" w:ascii="黑体" w:hAnsi="黑体" w:eastAsia="黑体" w:cs="黑体"/>
          <w:sz w:val="36"/>
          <w:szCs w:val="36"/>
        </w:rPr>
        <w:t>调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查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基本信息及行业信息</w:t>
      </w:r>
    </w:p>
    <w:tbl>
      <w:tblPr>
        <w:tblStyle w:val="5"/>
        <w:tblpPr w:leftFromText="180" w:rightFromText="180" w:vertAnchor="text" w:horzAnchor="page" w:tblpX="1337" w:tblpY="495"/>
        <w:tblOverlap w:val="never"/>
        <w:tblW w:w="9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838"/>
        <w:gridCol w:w="1518"/>
        <w:gridCol w:w="2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公司名称</w:t>
            </w:r>
          </w:p>
        </w:tc>
        <w:tc>
          <w:tcPr>
            <w:tcW w:w="7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公司性质</w:t>
            </w:r>
          </w:p>
        </w:tc>
        <w:tc>
          <w:tcPr>
            <w:tcW w:w="73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 xml:space="preserve">    ☐国有企业            ☐ 私营企业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 xml:space="preserve">    ☐股份制企业          ☐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联系人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  <w:lang w:val="en-US" w:eastAsia="zh-CN" w:bidi="ar"/>
                <w14:ligatures w14:val="standardContextual"/>
              </w:rPr>
              <w:t>手机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电话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邮箱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企业类型</w:t>
            </w:r>
          </w:p>
        </w:tc>
        <w:tc>
          <w:tcPr>
            <w:tcW w:w="7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☐大型    ☐中型    ☐小型    ☐微型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是否有意向参与本项目投标</w:t>
            </w:r>
          </w:p>
        </w:tc>
        <w:tc>
          <w:tcPr>
            <w:tcW w:w="7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 xml:space="preserve">             ☐是         ☐否   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二、问卷邀请函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致：江门市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五邑中医院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我公司已认真阅读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充分知悉并了解了贵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针对本次采购需求调查内容，我方针对本次调查的建议或者意见都已在本记录中进行了反映。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我方同意贵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无偿采用我方提交的采购需求调查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全部或部分内容作为贵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采购需求的内容，并无需承担任何责任。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本公司将严格遵守上述事项，并对其真实性负责。</w:t>
      </w:r>
    </w:p>
    <w:p>
      <w:pPr>
        <w:spacing w:line="360" w:lineRule="auto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</w:p>
    <w:p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>
      <w:pPr>
        <w:spacing w:line="560" w:lineRule="exact"/>
        <w:ind w:firstLine="3080" w:firstLineChars="1100"/>
        <w:jc w:val="left"/>
        <w:textAlignment w:val="top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</w:p>
    <w:p>
      <w:pPr>
        <w:spacing w:line="560" w:lineRule="exact"/>
        <w:textAlignment w:val="top"/>
        <w:rPr>
          <w:rFonts w:hint="eastAsia" w:ascii="仿宋" w:hAnsi="仿宋" w:eastAsia="仿宋" w:cs="宋体"/>
          <w:sz w:val="32"/>
          <w:szCs w:val="32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0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eastAsia="zh-CN"/>
          <w14:ligatures w14:val="none"/>
        </w:rPr>
        <w:t>（一）相关行业发展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1.现行业的服务路线、服务水平、技术水平或行业的发展历程、行业现状等：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2.可能涉及的企业资质、产品资质、人员资质：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3.涉及的相关标准和规范：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widowControl/>
        <w:spacing w:after="0" w:line="360" w:lineRule="auto"/>
        <w:ind w:firstLine="640" w:firstLineChars="200"/>
        <w:jc w:val="both"/>
        <w:rPr>
          <w:rFonts w:hint="eastAsia" w:ascii="仿宋" w:hAnsi="仿宋" w:eastAsia="仿宋" w:cs="Helvetica Neue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" w:hAnsi="仿宋" w:eastAsia="仿宋" w:cs="Helvetica Neue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（二）市场供给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1.市场竞争程度：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2.价格水平剧哦价格构成（可参照附件2再补充其他信息）：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3.潜在供应商的履约能力、售后服务能力：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 xml:space="preserve"> </w:t>
      </w: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pStyle w:val="3"/>
        <w:rPr>
          <w:rFonts w:hint="eastAsia"/>
          <w:lang w:val="en-US" w:eastAsia="zh-CN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widowControl/>
        <w:numPr>
          <w:ilvl w:val="0"/>
          <w:numId w:val="0"/>
        </w:numPr>
        <w:spacing w:after="0" w:line="360" w:lineRule="auto"/>
        <w:ind w:firstLine="643" w:firstLineChars="200"/>
        <w:jc w:val="both"/>
        <w:rPr>
          <w:rFonts w:hint="eastAsia" w:ascii="仿宋" w:hAnsi="仿宋" w:eastAsia="仿宋" w:cs="Helvetica Neue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（三）同类采购项目历史成交信息</w:t>
      </w:r>
      <w:r>
        <w:rPr>
          <w:rFonts w:hint="eastAsia" w:ascii="仿宋" w:hAnsi="仿宋" w:eastAsia="仿宋" w:cs="Helvetica Neue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（可自行添加表格行数）</w:t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57"/>
        <w:gridCol w:w="1607"/>
        <w:gridCol w:w="1587"/>
        <w:gridCol w:w="1196"/>
        <w:gridCol w:w="1233"/>
        <w:gridCol w:w="1307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9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157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采购人</w:t>
            </w:r>
          </w:p>
        </w:tc>
        <w:tc>
          <w:tcPr>
            <w:tcW w:w="1607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项目名称</w:t>
            </w:r>
          </w:p>
        </w:tc>
        <w:tc>
          <w:tcPr>
            <w:tcW w:w="1587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项目预算</w:t>
            </w:r>
          </w:p>
        </w:tc>
        <w:tc>
          <w:tcPr>
            <w:tcW w:w="1196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中标人</w:t>
            </w:r>
          </w:p>
        </w:tc>
        <w:tc>
          <w:tcPr>
            <w:tcW w:w="1233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中标价</w:t>
            </w:r>
          </w:p>
        </w:tc>
        <w:tc>
          <w:tcPr>
            <w:tcW w:w="1307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合同期</w:t>
            </w:r>
          </w:p>
        </w:tc>
        <w:tc>
          <w:tcPr>
            <w:tcW w:w="990" w:type="dxa"/>
          </w:tcPr>
          <w:p>
            <w:pPr>
              <w:widowControl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" w:hAnsi="仿宋" w:eastAsia="仿宋" w:cs="Helvetica Neue"/>
                <w:b w:val="0"/>
                <w:bCs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3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3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distribute"/>
              <w:textAlignment w:val="auto"/>
              <w:rPr>
                <w:rFonts w:hint="default" w:ascii="仿宋" w:hAnsi="仿宋" w:eastAsia="仿宋" w:cs="Helvetica Neue"/>
                <w:b/>
                <w:color w:val="000000" w:themeColor="text1"/>
                <w:kern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after="0" w:line="360" w:lineRule="auto"/>
        <w:ind w:leftChars="0" w:firstLine="643" w:firstLineChars="200"/>
        <w:jc w:val="both"/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（四）后续供应商采购情况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可能涉及的系统、工衣、工具、备品备件、耗材、车辆等情况：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（五）影响供应商报价和项目实施风险的因素</w:t>
      </w:r>
    </w:p>
    <w:p>
      <w:pP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（六）供应商认为需要提供的其他说明</w:t>
      </w:r>
    </w:p>
    <w:p>
      <w:pP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</w:p>
    <w:p>
      <w:pP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</w:p>
    <w:p>
      <w:pPr>
        <w:pStyle w:val="2"/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 xml:space="preserve"> 单位名称（盖公章）：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right"/>
        <w:textAlignment w:val="auto"/>
        <w:rPr>
          <w:rFonts w:hint="default" w:ascii="仿宋" w:hAnsi="仿宋" w:eastAsia="仿宋" w:cs="Helvetica Neue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 xml:space="preserve">  年    月 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I2Y2VmNjY0OGI0NTc1YWM2ZTk3NThhMGFkMDYifQ=="/>
  </w:docVars>
  <w:rsids>
    <w:rsidRoot w:val="00000000"/>
    <w:rsid w:val="618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2025-03-14T08:19:18Z</dcterms:created>
  <dc:creator>Administrator</dc:creator>
  <cp:lastModifiedBy>Clin(-_^)</cp:lastModifiedBy>
  <dcterms:modified xsi:type="dcterms:W3CDTF">2025-03-14T08:20:22Z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FC2EAA305579403EA1EF9EA9827F3C90_12</vt:lpwstr>
  </property>
</Properties>
</file>