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0FBD4">
      <w:pPr>
        <w:autoSpaceDE w:val="0"/>
        <w:autoSpaceDN w:val="0"/>
        <w:adjustRightInd w:val="0"/>
        <w:snapToGrid w:val="0"/>
        <w:rPr>
          <w:rFonts w:cs="宋体" w:asciiTheme="minorEastAsia" w:hAnsiTheme="minorEastAsia"/>
          <w:bCs/>
          <w:sz w:val="24"/>
        </w:rPr>
      </w:pPr>
      <w:bookmarkStart w:id="0" w:name="_Toc144285454"/>
      <w:bookmarkStart w:id="1" w:name="_Toc144285331"/>
      <w:bookmarkStart w:id="2" w:name="_Toc144286006"/>
      <w:bookmarkStart w:id="3" w:name="_Hlk530126930"/>
      <w:bookmarkStart w:id="4" w:name="_Toc144285849"/>
      <w:bookmarkStart w:id="5" w:name="_Toc144286496"/>
    </w:p>
    <w:tbl>
      <w:tblPr>
        <w:tblStyle w:val="1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7868"/>
      </w:tblGrid>
      <w:tr w14:paraId="2D7DE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29" w:type="dxa"/>
            <w:vAlign w:val="center"/>
          </w:tcPr>
          <w:p w14:paraId="7830DA5C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158791EA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 w:cstheme="minorBidi"/>
                <w:b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sz w:val="24"/>
                <w:lang w:val="en-US" w:eastAsia="zh-CN"/>
              </w:rPr>
              <w:t>64排宝石CT</w:t>
            </w:r>
            <w:bookmarkStart w:id="6" w:name="_GoBack"/>
            <w:bookmarkEnd w:id="6"/>
            <w:r>
              <w:rPr>
                <w:rFonts w:hint="eastAsia" w:cs="宋体" w:asciiTheme="minorEastAsia" w:hAnsiTheme="minorEastAsia" w:eastAsiaTheme="minorEastAsia"/>
                <w:b/>
                <w:sz w:val="24"/>
              </w:rPr>
              <w:t>球管技术参数</w:t>
            </w:r>
          </w:p>
        </w:tc>
      </w:tr>
      <w:tr w14:paraId="43DC4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1C41EE94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1F09208F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阳极热容量：</w:t>
            </w:r>
            <w:r>
              <w:rPr>
                <w:rFonts w:asciiTheme="minorEastAsia" w:hAnsiTheme="minorEastAsia" w:eastAsiaTheme="minorEastAsia" w:cstheme="minorBidi"/>
                <w:sz w:val="24"/>
              </w:rPr>
              <w:t>8.0MHU</w:t>
            </w:r>
          </w:p>
        </w:tc>
      </w:tr>
      <w:tr w14:paraId="39B2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273482F9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5390EA5C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焦点数量：≥两个</w:t>
            </w:r>
          </w:p>
        </w:tc>
      </w:tr>
      <w:tr w14:paraId="68392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7F76401B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59904576">
            <w:pPr>
              <w:pStyle w:val="36"/>
              <w:snapToGrid w:val="0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Cs w:val="24"/>
              </w:rPr>
              <w:t>小焦点（per IEC 60336/2005 ）≤1.0mm x 0.7 mm</w:t>
            </w:r>
          </w:p>
        </w:tc>
      </w:tr>
      <w:tr w14:paraId="2072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5133BFE7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70333998">
            <w:pPr>
              <w:pStyle w:val="36"/>
              <w:snapToGrid w:val="0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Cs w:val="24"/>
              </w:rPr>
              <w:t>小焦点可输出最大mA≥680mA</w:t>
            </w:r>
          </w:p>
        </w:tc>
      </w:tr>
      <w:tr w14:paraId="4F094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2845A706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7721D8A8">
            <w:pPr>
              <w:pStyle w:val="36"/>
              <w:snapToGrid w:val="0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Cs w:val="24"/>
              </w:rPr>
              <w:t>大焦点（per IEC 60336/2005 ）≤1.6mm x 1.2mm</w:t>
            </w:r>
          </w:p>
        </w:tc>
      </w:tr>
      <w:tr w14:paraId="53270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4F24F872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693916B7">
            <w:pPr>
              <w:pStyle w:val="36"/>
              <w:snapToGrid w:val="0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Cs w:val="24"/>
              </w:rPr>
              <w:t>大焦点可输出最大mA≥835mA</w:t>
            </w:r>
          </w:p>
        </w:tc>
      </w:tr>
      <w:tr w14:paraId="570A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098B387F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27B7C326">
            <w:pPr>
              <w:pStyle w:val="36"/>
              <w:snapToGrid w:val="0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Cs w:val="24"/>
              </w:rPr>
              <w:t xml:space="preserve">GSI焦点 per IEC 60336/2005 ≤2.0 x 1.2 </w:t>
            </w:r>
          </w:p>
        </w:tc>
      </w:tr>
      <w:tr w14:paraId="051D3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6BEBB257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3117996E">
            <w:pPr>
              <w:pStyle w:val="36"/>
              <w:snapToGrid w:val="0"/>
              <w:rPr>
                <w:rFonts w:hint="default" w:asciiTheme="minorEastAsia" w:hAnsiTheme="minorEastAsia" w:eastAsiaTheme="minorEastAsia" w:cstheme="minorBidi"/>
                <w:color w:val="auto"/>
                <w:kern w:val="2"/>
                <w:szCs w:val="24"/>
              </w:rPr>
            </w:pPr>
            <w:r>
              <w:rPr>
                <w:rFonts w:asciiTheme="minorEastAsia" w:hAnsiTheme="minorEastAsia" w:eastAsiaTheme="minorEastAsia" w:cstheme="minorBidi"/>
                <w:color w:val="auto"/>
                <w:kern w:val="2"/>
                <w:szCs w:val="24"/>
              </w:rPr>
              <w:t>GSI焦点 per IEC 60336/2005可输出最大mA≥890mA</w:t>
            </w:r>
          </w:p>
        </w:tc>
      </w:tr>
      <w:tr w14:paraId="693AD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69E80BFC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66654F3B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提供以DATASHEET（技术白皮书）为准的普通扫描和螺旋扫描在80kv、100kv、120kv、140kv四种条件下，可持续5秒扫描的大焦点最大mA输出单数）</w:t>
            </w:r>
          </w:p>
        </w:tc>
      </w:tr>
      <w:tr w14:paraId="11077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5728FF1A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565CA5DC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提供以DATASHEET（技术白皮书）为准的普通扫描和螺旋扫描在80kv、100kv、120kv、140kv四种条件下，可持续5秒扫描的小焦点最大mA输出单数）</w:t>
            </w:r>
          </w:p>
        </w:tc>
      </w:tr>
      <w:tr w14:paraId="117AB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7EB44BEC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464D4ECA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提供以DATASHEET（技术白皮书）为准的普通扫描和螺旋扫描在80kv、100kv、120kv、140kv四种条件下，可持续10秒扫描的大焦点最大mA输出单数）</w:t>
            </w:r>
          </w:p>
        </w:tc>
      </w:tr>
      <w:tr w14:paraId="7A64B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494DFE4B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7549FFFF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提供以DATASHEET（技术白皮书）为准的普通扫描和螺旋扫描在80kv、100kv、120kv、140kv四种条件下，可持续10秒扫描的小焦点最大mA输出单数）</w:t>
            </w:r>
          </w:p>
        </w:tc>
      </w:tr>
      <w:tr w14:paraId="413A6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2267C5B2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2DAE2C18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120KV，5秒单层扫描时，球管最大电流输出≥835</w:t>
            </w:r>
            <w:r>
              <w:rPr>
                <w:rFonts w:asciiTheme="minorEastAsia" w:hAnsiTheme="minorEastAsia" w:eastAsiaTheme="minorEastAsia" w:cstheme="minorBidi"/>
                <w:sz w:val="24"/>
              </w:rPr>
              <w:t>mA</w:t>
            </w:r>
          </w:p>
        </w:tc>
      </w:tr>
      <w:tr w14:paraId="66D56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9" w:type="dxa"/>
            <w:vAlign w:val="center"/>
          </w:tcPr>
          <w:p w14:paraId="710CEBE7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6C5BE7D5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提供以DATASHEET（技术白皮书）为准的HD750多层扫描时毫安输出参数（120KV时）</w:t>
            </w:r>
          </w:p>
        </w:tc>
      </w:tr>
      <w:tr w14:paraId="6051B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5AA01A1D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4B085BB7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120KV，5秒多层扫描时，球管最大电流输出≥705</w:t>
            </w:r>
            <w:r>
              <w:rPr>
                <w:rFonts w:asciiTheme="minorEastAsia" w:hAnsiTheme="minorEastAsia" w:eastAsiaTheme="minorEastAsia" w:cstheme="minorBidi"/>
                <w:sz w:val="24"/>
              </w:rPr>
              <w:t>mA</w:t>
            </w:r>
          </w:p>
        </w:tc>
      </w:tr>
      <w:tr w14:paraId="6A605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7020AF6F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443F5C40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球管最大电压≥140KV</w:t>
            </w:r>
          </w:p>
        </w:tc>
      </w:tr>
      <w:tr w14:paraId="6D30C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029" w:type="dxa"/>
            <w:vAlign w:val="center"/>
          </w:tcPr>
          <w:p w14:paraId="065349AA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474565CC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阳极靶面角度：7度</w:t>
            </w:r>
          </w:p>
        </w:tc>
      </w:tr>
      <w:tr w14:paraId="497E7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029" w:type="dxa"/>
            <w:vAlign w:val="center"/>
          </w:tcPr>
          <w:p w14:paraId="4EC9F5FF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0C55C958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球管持续散热能力≥5.1</w:t>
            </w:r>
            <w:r>
              <w:rPr>
                <w:rFonts w:asciiTheme="minorEastAsia" w:hAnsiTheme="minorEastAsia" w:eastAsiaTheme="minorEastAsia" w:cstheme="minorBidi"/>
                <w:sz w:val="24"/>
              </w:rPr>
              <w:t>kW</w:t>
            </w:r>
          </w:p>
        </w:tc>
      </w:tr>
      <w:tr w14:paraId="12483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9" w:type="dxa"/>
            <w:vAlign w:val="center"/>
          </w:tcPr>
          <w:p w14:paraId="23F863A3">
            <w:pPr>
              <w:pStyle w:val="26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Theme="minorEastAsia" w:hAnsiTheme="minorEastAsia" w:eastAsiaTheme="minorEastAsia" w:cstheme="minorBidi"/>
                <w:sz w:val="24"/>
              </w:rPr>
            </w:pPr>
          </w:p>
        </w:tc>
        <w:tc>
          <w:tcPr>
            <w:tcW w:w="7868" w:type="dxa"/>
            <w:vAlign w:val="center"/>
          </w:tcPr>
          <w:p w14:paraId="1F1B3F05">
            <w:pPr>
              <w:adjustRightInd w:val="0"/>
              <w:snapToGrid w:val="0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 xml:space="preserve">提供CT原厂的 </w:t>
            </w:r>
            <w:r>
              <w:rPr>
                <w:rFonts w:asciiTheme="minorEastAsia" w:hAnsiTheme="minorEastAsia" w:eastAsiaTheme="minorEastAsia" w:cstheme="minorBidi"/>
                <w:sz w:val="24"/>
              </w:rPr>
              <w:t>InSite</w:t>
            </w:r>
            <w:r>
              <w:rPr>
                <w:rFonts w:asciiTheme="minorEastAsia" w:hAnsiTheme="minorEastAsia" w:eastAsiaTheme="minorEastAsia" w:cstheme="minorBidi"/>
                <w:sz w:val="24"/>
                <w:vertAlign w:val="superscript"/>
              </w:rPr>
              <w:t>TM</w:t>
            </w:r>
            <w:r>
              <w:rPr>
                <w:rFonts w:hint="eastAsia" w:asciiTheme="minorEastAsia" w:hAnsiTheme="minorEastAsia" w:eastAsiaTheme="minorEastAsia" w:cstheme="minorBidi"/>
                <w:sz w:val="24"/>
                <w:vertAlign w:val="superscript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Bidi"/>
                <w:sz w:val="24"/>
              </w:rPr>
              <w:t>数字化远程故障筛排系统，提前预知CT整机及球管的问题，帮医院提早做计划，无计划外停机。</w:t>
            </w:r>
          </w:p>
        </w:tc>
      </w:tr>
      <w:bookmarkEnd w:id="0"/>
      <w:bookmarkEnd w:id="1"/>
      <w:bookmarkEnd w:id="2"/>
      <w:bookmarkEnd w:id="3"/>
      <w:bookmarkEnd w:id="4"/>
      <w:bookmarkEnd w:id="5"/>
    </w:tbl>
    <w:p w14:paraId="3191A7B6">
      <w:pPr>
        <w:adjustRightInd w:val="0"/>
        <w:snapToGrid w:val="0"/>
        <w:spacing w:line="360" w:lineRule="auto"/>
        <w:ind w:right="560" w:firstLine="141" w:firstLineChars="50"/>
        <w:rPr>
          <w:rFonts w:ascii="GE Inspira" w:hAnsi="GE Inspira"/>
          <w:b/>
          <w:bCs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E Inspira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83237508"/>
      <w:docPartObj>
        <w:docPartGallery w:val="autotext"/>
      </w:docPartObj>
    </w:sdtPr>
    <w:sdtContent>
      <w:p w14:paraId="79DFB54F">
        <w:pPr>
          <w:pStyle w:val="1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3F30F55">
    <w:pPr>
      <w:pStyle w:val="1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934FE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53D28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A36FC"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9B404A">
    <w:pPr>
      <w:pStyle w:val="1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FBDFE8"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7D78BE"/>
    <w:multiLevelType w:val="multilevel"/>
    <w:tmpl w:val="467D78BE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00100EF7"/>
    <w:rsid w:val="00047FF1"/>
    <w:rsid w:val="000A02AF"/>
    <w:rsid w:val="000B4838"/>
    <w:rsid w:val="000D452B"/>
    <w:rsid w:val="00100EF7"/>
    <w:rsid w:val="00135781"/>
    <w:rsid w:val="001C1277"/>
    <w:rsid w:val="0020774A"/>
    <w:rsid w:val="002D4C16"/>
    <w:rsid w:val="003C16F7"/>
    <w:rsid w:val="00411A4F"/>
    <w:rsid w:val="00414168"/>
    <w:rsid w:val="004E438C"/>
    <w:rsid w:val="0050743B"/>
    <w:rsid w:val="00531D60"/>
    <w:rsid w:val="005679F7"/>
    <w:rsid w:val="00604A94"/>
    <w:rsid w:val="006057AD"/>
    <w:rsid w:val="006C75E8"/>
    <w:rsid w:val="006E36D3"/>
    <w:rsid w:val="00725C1B"/>
    <w:rsid w:val="007B4668"/>
    <w:rsid w:val="008214BD"/>
    <w:rsid w:val="008575EC"/>
    <w:rsid w:val="00885660"/>
    <w:rsid w:val="008E7FC0"/>
    <w:rsid w:val="00977AE4"/>
    <w:rsid w:val="009837A1"/>
    <w:rsid w:val="009915EE"/>
    <w:rsid w:val="009972E8"/>
    <w:rsid w:val="009B2262"/>
    <w:rsid w:val="00A6595F"/>
    <w:rsid w:val="00AC5885"/>
    <w:rsid w:val="00AC7816"/>
    <w:rsid w:val="00AF07B1"/>
    <w:rsid w:val="00BE07A2"/>
    <w:rsid w:val="00C02045"/>
    <w:rsid w:val="00C105E3"/>
    <w:rsid w:val="00C55690"/>
    <w:rsid w:val="00CC241E"/>
    <w:rsid w:val="00CD4A69"/>
    <w:rsid w:val="00D81F5D"/>
    <w:rsid w:val="00DA2928"/>
    <w:rsid w:val="00DE3E42"/>
    <w:rsid w:val="00DE5D22"/>
    <w:rsid w:val="00DF6D5E"/>
    <w:rsid w:val="00E21208"/>
    <w:rsid w:val="00E57E4E"/>
    <w:rsid w:val="00E915F6"/>
    <w:rsid w:val="00EE24A4"/>
    <w:rsid w:val="00F34CAB"/>
    <w:rsid w:val="00FB6AFD"/>
    <w:rsid w:val="00FE68A6"/>
    <w:rsid w:val="09944C3F"/>
    <w:rsid w:val="15656AF0"/>
    <w:rsid w:val="1D850FC6"/>
    <w:rsid w:val="26AA5CD8"/>
    <w:rsid w:val="7AB4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link w:val="32"/>
    <w:qFormat/>
    <w:uiPriority w:val="0"/>
    <w:pPr>
      <w:ind w:firstLine="420"/>
    </w:pPr>
  </w:style>
  <w:style w:type="paragraph" w:styleId="7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8">
    <w:name w:val="Plain Text"/>
    <w:basedOn w:val="1"/>
    <w:link w:val="30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33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3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4">
    <w:name w:val="Table Grid"/>
    <w:basedOn w:val="13"/>
    <w:unhideWhenUsed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qFormat/>
    <w:uiPriority w:val="0"/>
    <w:rPr>
      <w:rFonts w:ascii="Tahoma" w:hAnsi="Tahoma" w:eastAsia="宋体"/>
      <w:b/>
      <w:bCs/>
      <w:spacing w:val="10"/>
      <w:kern w:val="2"/>
      <w:sz w:val="24"/>
      <w:szCs w:val="24"/>
      <w:lang w:val="en-US" w:eastAsia="zh-CN" w:bidi="ar-SA"/>
    </w:rPr>
  </w:style>
  <w:style w:type="paragraph" w:customStyle="1" w:styleId="17">
    <w:name w:val="列出段落1"/>
    <w:basedOn w:val="1"/>
    <w:qFormat/>
    <w:uiPriority w:val="0"/>
    <w:pPr>
      <w:widowControl/>
      <w:spacing w:after="200" w:line="276" w:lineRule="auto"/>
      <w:ind w:left="720"/>
      <w:contextualSpacing/>
      <w:jc w:val="left"/>
    </w:pPr>
    <w:rPr>
      <w:rFonts w:ascii="Arial" w:hAnsi="Arial"/>
      <w:kern w:val="0"/>
      <w:sz w:val="22"/>
      <w:szCs w:val="22"/>
    </w:rPr>
  </w:style>
  <w:style w:type="paragraph" w:customStyle="1" w:styleId="18">
    <w:name w:val="リスト段落"/>
    <w:basedOn w:val="1"/>
    <w:qFormat/>
    <w:uiPriority w:val="34"/>
    <w:pPr>
      <w:ind w:left="840" w:leftChars="400"/>
    </w:pPr>
    <w:rPr>
      <w:sz w:val="28"/>
    </w:rPr>
  </w:style>
  <w:style w:type="character" w:customStyle="1" w:styleId="19">
    <w:name w:val="标题 1 字符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0">
    <w:name w:val="标题 2 字符"/>
    <w:basedOn w:val="15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">
    <w:name w:val="标题 3 字符"/>
    <w:link w:val="4"/>
    <w:qFormat/>
    <w:uiPriority w:val="0"/>
    <w:rPr>
      <w:b/>
      <w:bCs/>
      <w:kern w:val="2"/>
      <w:sz w:val="32"/>
      <w:szCs w:val="32"/>
    </w:rPr>
  </w:style>
  <w:style w:type="character" w:customStyle="1" w:styleId="22">
    <w:name w:val="标题 4 字符"/>
    <w:basedOn w:val="15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3">
    <w:name w:val="标题 字符"/>
    <w:basedOn w:val="15"/>
    <w:link w:val="12"/>
    <w:qFormat/>
    <w:uiPriority w:val="0"/>
    <w:rPr>
      <w:rFonts w:ascii="Arial" w:hAnsi="Arial" w:cs="Arial"/>
      <w:b/>
      <w:bCs/>
      <w:kern w:val="2"/>
      <w:sz w:val="32"/>
      <w:szCs w:val="32"/>
    </w:rPr>
  </w:style>
  <w:style w:type="paragraph" w:styleId="24">
    <w:name w:val="No Spacing"/>
    <w:link w:val="25"/>
    <w:qFormat/>
    <w:uiPriority w:val="1"/>
    <w:pPr>
      <w:spacing w:after="160" w:line="259" w:lineRule="auto"/>
    </w:pPr>
    <w:rPr>
      <w:rFonts w:ascii="Calibri" w:hAnsi="Calibri" w:eastAsia="宋体" w:cs="Times New Roman"/>
      <w:kern w:val="2"/>
      <w:sz w:val="22"/>
      <w:szCs w:val="22"/>
      <w:lang w:val="en-US" w:eastAsia="zh-CN" w:bidi="ar-SA"/>
    </w:rPr>
  </w:style>
  <w:style w:type="character" w:customStyle="1" w:styleId="25">
    <w:name w:val="无间隔 字符"/>
    <w:link w:val="24"/>
    <w:qFormat/>
    <w:uiPriority w:val="1"/>
    <w:rPr>
      <w:rFonts w:ascii="Calibri" w:hAnsi="Calibri"/>
      <w:kern w:val="2"/>
      <w:sz w:val="22"/>
      <w:szCs w:val="22"/>
    </w:rPr>
  </w:style>
  <w:style w:type="paragraph" w:styleId="26">
    <w:name w:val="List Paragraph"/>
    <w:basedOn w:val="1"/>
    <w:unhideWhenUsed/>
    <w:qFormat/>
    <w:uiPriority w:val="34"/>
    <w:pPr>
      <w:ind w:firstLine="420" w:firstLineChars="200"/>
    </w:pPr>
    <w:rPr>
      <w:rFonts w:ascii="Calibri" w:hAnsi="Calibri"/>
    </w:rPr>
  </w:style>
  <w:style w:type="character" w:customStyle="1" w:styleId="27">
    <w:name w:val="页眉 字符"/>
    <w:basedOn w:val="15"/>
    <w:link w:val="11"/>
    <w:qFormat/>
    <w:uiPriority w:val="99"/>
    <w:rPr>
      <w:kern w:val="2"/>
      <w:sz w:val="18"/>
      <w:szCs w:val="18"/>
    </w:rPr>
  </w:style>
  <w:style w:type="character" w:customStyle="1" w:styleId="28">
    <w:name w:val="页脚 字符"/>
    <w:basedOn w:val="15"/>
    <w:link w:val="10"/>
    <w:qFormat/>
    <w:uiPriority w:val="99"/>
    <w:rPr>
      <w:kern w:val="2"/>
      <w:sz w:val="18"/>
      <w:szCs w:val="18"/>
    </w:rPr>
  </w:style>
  <w:style w:type="character" w:customStyle="1" w:styleId="29">
    <w:name w:val="纯文本 字符"/>
    <w:basedOn w:val="15"/>
    <w:semiHidden/>
    <w:qFormat/>
    <w:uiPriority w:val="99"/>
    <w:rPr>
      <w:rFonts w:hAnsi="Courier New" w:cs="Courier New" w:asciiTheme="minorEastAsia" w:eastAsiaTheme="minorEastAsia"/>
      <w:kern w:val="2"/>
      <w:sz w:val="21"/>
      <w:szCs w:val="24"/>
    </w:rPr>
  </w:style>
  <w:style w:type="character" w:customStyle="1" w:styleId="30">
    <w:name w:val="纯文本 字符1"/>
    <w:link w:val="8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1">
    <w:name w:val="ca-12"/>
    <w:qFormat/>
    <w:uiPriority w:val="0"/>
    <w:rPr>
      <w:rFonts w:eastAsia="宋体" w:cs="Times New Roman"/>
      <w:kern w:val="2"/>
      <w:sz w:val="24"/>
      <w:szCs w:val="24"/>
      <w:lang w:val="en-US" w:eastAsia="zh-CN" w:bidi="ar-SA"/>
    </w:rPr>
  </w:style>
  <w:style w:type="character" w:customStyle="1" w:styleId="32">
    <w:name w:val="正文缩进 字符"/>
    <w:link w:val="6"/>
    <w:qFormat/>
    <w:uiPriority w:val="0"/>
    <w:rPr>
      <w:kern w:val="2"/>
      <w:sz w:val="21"/>
      <w:szCs w:val="24"/>
    </w:rPr>
  </w:style>
  <w:style w:type="character" w:customStyle="1" w:styleId="33">
    <w:name w:val="批注框文本 字符"/>
    <w:basedOn w:val="15"/>
    <w:link w:val="9"/>
    <w:semiHidden/>
    <w:qFormat/>
    <w:uiPriority w:val="99"/>
    <w:rPr>
      <w:kern w:val="2"/>
      <w:sz w:val="18"/>
      <w:szCs w:val="18"/>
    </w:rPr>
  </w:style>
  <w:style w:type="paragraph" w:customStyle="1" w:styleId="34">
    <w:name w:val="表格文字"/>
    <w:basedOn w:val="1"/>
    <w:link w:val="35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  <w:style w:type="character" w:customStyle="1" w:styleId="35">
    <w:name w:val="表格文字 Char"/>
    <w:link w:val="34"/>
    <w:qFormat/>
    <w:uiPriority w:val="0"/>
    <w:rPr>
      <w:bCs/>
      <w:spacing w:val="10"/>
      <w:sz w:val="24"/>
    </w:rPr>
  </w:style>
  <w:style w:type="paragraph" w:customStyle="1" w:styleId="36">
    <w:name w:val="Default"/>
    <w:unhideWhenUsed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hint="eastAsia" w:ascii="黑体" w:hAnsi="黑体" w:eastAsia="黑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1139</Words>
  <Characters>1470</Characters>
  <Lines>11</Lines>
  <Paragraphs>3</Paragraphs>
  <TotalTime>326</TotalTime>
  <ScaleCrop>false</ScaleCrop>
  <LinksUpToDate>false</LinksUpToDate>
  <CharactersWithSpaces>1503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2017-12-20T16:48:00Z</dcterms:created>
  <dc:creator>Huang, Guochao (GE Healthcare)</dc:creator>
  <cp:lastModifiedBy>Administrator</cp:lastModifiedBy>
  <cp:lastPrinted>2020-10-27T02:28:00Z</cp:lastPrinted>
  <dcterms:modified xsi:type="dcterms:W3CDTF">2024-10-10T01:14:04Z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8C4383B6DC74416497265BEED23D5808_12</vt:lpwstr>
  </property>
</Properties>
</file>