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全自动生化分析仪主要参数</w:t>
      </w:r>
    </w:p>
    <w:p>
      <w:pPr>
        <w:rPr>
          <w:rFonts w:hint="eastAsia" w:ascii="宋体" w:hAnsi="宋体" w:eastAsia="宋体" w:cs="宋体"/>
          <w:sz w:val="28"/>
          <w:szCs w:val="28"/>
        </w:rPr>
      </w:pPr>
      <w:r>
        <w:rPr>
          <w:rFonts w:hint="eastAsia" w:ascii="宋体" w:hAnsi="宋体" w:eastAsia="宋体" w:cs="宋体"/>
          <w:sz w:val="28"/>
          <w:szCs w:val="28"/>
        </w:rPr>
        <w:t>1、检测速度：总测试速度≥2900测试／小时，比色法速度：≥2000测试／小时，电解质部分900测试／小时；</w:t>
      </w:r>
    </w:p>
    <w:p>
      <w:pPr>
        <w:rPr>
          <w:rFonts w:hint="eastAsia" w:ascii="宋体" w:hAnsi="宋体" w:eastAsia="宋体" w:cs="宋体"/>
          <w:sz w:val="28"/>
          <w:szCs w:val="28"/>
        </w:rPr>
      </w:pPr>
      <w:r>
        <w:rPr>
          <w:rFonts w:hint="eastAsia" w:ascii="宋体" w:hAnsi="宋体" w:eastAsia="宋体" w:cs="宋体"/>
          <w:sz w:val="28"/>
          <w:szCs w:val="28"/>
        </w:rPr>
        <w:t>2、可进行常规生化，特定蛋白，药物浓度，电解质等项目检测，其中离子选择性电极（Na、K、C1电极）采用长寿命液态膜技术，独立式设计，可根据需要进行单个电极更换；</w:t>
      </w:r>
    </w:p>
    <w:p>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、反应系统：采用循环水浴控温方式，防腐设计，温度精确控制在37℃±0. 1℃;</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、光学系统：无相差蚀刻凹面光栅，信号识别率高、传输准确便捷，吸光度线性范围：0~3. 0ABS;</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、分析方法：具有终点法，2点终点法，自身空白终点法，样品空白终点法，动力学法，2点动力学法等20种以上；</w:t>
      </w:r>
    </w:p>
    <w:p>
      <w:p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、可进行样本自动稀释和浓缩检测及对异常结果标本实行实时或批量自动重检；</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、可同时开展项目：可提供100种以上的检测项目；所有的试剂参数自动下载，无需手工输入，实现无纸化操作，试剂容量屏幕显示清晰、一目了然；</w:t>
      </w:r>
    </w:p>
    <w:p>
      <w:p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、样本类型：样本类型包括血清、血浆、尿液、脑脊液，全血；可提供脂血，黄疸，溶血等血清指数检测；</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、试剂系统：可自动装、卸载试剂，试剂位≥70个，同时可开展项目70个，且不分单、双试剂；</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系统化设计：厂家必须能提供与仪器同品牌的配套试剂、定标物、质控品；能提供所有检测试剂的可溯源性文件及不确定度；供货商必须有厂家提供的试剂供应授权书；可提供全球化的实验室质量比对服务，实现与国际先进实验室结果的可比性；</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、轨道式进样方式，同时在机样品数量300个，可连续装载；样品轨道系统为多轨道设计，拥有自动折返重检及独特的模块样本缓存轨道等四轨道系统；</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样本缓冲轨道模块可确保样本架传输不受任何限制，实现流程最优化。在样本缓存轨道模块内部，任何位置的样本架均可以被传输到主轨道，同时也能被传输到模块内部进行加样；且均有一个备用样本架进样口，可供应急使用，以减少故障发生时造成的损失。</w:t>
      </w:r>
    </w:p>
    <w:p>
      <w:r>
        <w:rPr>
          <w:rFonts w:hint="eastAsia" w:ascii="宋体" w:hAnsi="宋体" w:eastAsia="宋体" w:cs="宋体"/>
          <w:sz w:val="28"/>
          <w:szCs w:val="28"/>
        </w:rPr>
        <w:t>1</w:t>
      </w:r>
      <w:r>
        <w:rPr>
          <w:rFonts w:hint="eastAsia" w:ascii="宋体" w:hAnsi="宋体" w:eastAsia="宋体" w:cs="宋体"/>
          <w:sz w:val="28"/>
          <w:szCs w:val="28"/>
          <w:lang w:val="en-US" w:eastAsia="zh-CN"/>
        </w:rPr>
        <w:t>3</w:t>
      </w:r>
      <w:bookmarkStart w:id="0" w:name="_GoBack"/>
      <w:bookmarkEnd w:id="0"/>
      <w:r>
        <w:rPr>
          <w:rFonts w:hint="eastAsia" w:ascii="宋体" w:hAnsi="宋体" w:eastAsia="宋体" w:cs="宋体"/>
          <w:sz w:val="28"/>
          <w:szCs w:val="28"/>
        </w:rPr>
        <w:t>、完善的电子服务功能：产品信息自动更新，应用参数自动下载，电子化文件归档管理。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3E22FC"/>
    <w:rsid w:val="29486F52"/>
    <w:rsid w:val="2A387A1D"/>
    <w:rsid w:val="395C11A0"/>
    <w:rsid w:val="6515070C"/>
    <w:rsid w:val="688B0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独白的倒影/</cp:lastModifiedBy>
  <dcterms:modified xsi:type="dcterms:W3CDTF">2022-03-05T10:53:55Z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