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全自动凝血分析仪参数要求</w:t>
      </w:r>
    </w:p>
    <w:p>
      <w:pPr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1.同时具有三种检测原理：凝固法、发色底物法、免疫比浊法检测功能；</w:t>
      </w:r>
    </w:p>
    <w:p>
      <w:pPr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2.检测项目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eastAsia="zh-CN"/>
        </w:rPr>
        <w:t>需包含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：常规七项（PT、APTT、TT、FIB、FDP、D-Dimer、AT)和内、外源性凝血因子、PC、PS、LA、PLG、a2-AP、PAI、VWF、肝素等；</w:t>
      </w:r>
    </w:p>
    <w:p>
      <w:pPr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3.纤维蛋白原具备两种测定方法：Clausse定量法和PT演算法</w:t>
      </w:r>
    </w:p>
    <w:p>
      <w:pPr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4.检测速度：PT: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≧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120T/h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 xml:space="preserve">PT/APTT: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≧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110T/h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 xml:space="preserve">PT/APTT/Fbg/DD: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≧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70T/h</w:t>
      </w:r>
    </w:p>
    <w:p>
      <w:pPr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5.测试通道≥8个</w:t>
      </w:r>
    </w:p>
    <w:p>
      <w:pPr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6.检测波长≥4个，波长范围40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>0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~800nm;</w:t>
      </w:r>
    </w:p>
    <w:p>
      <w:pPr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7.具有标本智能监测功能：对样本是否有溶血、黄疸、乳糜自动监测并显示信息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eastAsia="zh-CN"/>
        </w:rPr>
        <w:t>。</w:t>
      </w:r>
    </w:p>
    <w:p>
      <w:pPr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8.样本位置≥50个，可选择连续装载添加进样和封闭进样模式，具备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盖帽穿刺功能</w:t>
      </w:r>
    </w:p>
    <w:p>
      <w:pPr>
        <w:jc w:val="both"/>
        <w:rPr>
          <w:rFonts w:hint="eastAsia"/>
          <w:b w:val="0"/>
          <w:bCs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64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独白的倒影/</cp:lastModifiedBy>
  <dcterms:modified xsi:type="dcterms:W3CDTF">2022-03-05T11:28:23Z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