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化学发光仪参数要求</w:t>
      </w:r>
    </w:p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bookmarkStart w:id="0" w:name="_GoBack"/>
      <w:bookmarkEnd w:id="0"/>
    </w:p>
    <w:p>
      <w:pPr>
        <w:widowControl/>
        <w:numPr>
          <w:ilvl w:val="0"/>
          <w:numId w:val="1"/>
        </w:numPr>
        <w:spacing w:line="360" w:lineRule="atLeast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用于新型冠状病毒IgM、IgG抗体分开检测</w:t>
      </w:r>
    </w:p>
    <w:p>
      <w:pPr>
        <w:widowControl/>
        <w:numPr>
          <w:ilvl w:val="0"/>
          <w:numId w:val="1"/>
        </w:numPr>
        <w:spacing w:line="360" w:lineRule="atLeast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支持检测血清、血浆样本</w:t>
      </w:r>
    </w:p>
    <w:p>
      <w:pPr>
        <w:widowControl/>
        <w:numPr>
          <w:ilvl w:val="0"/>
          <w:numId w:val="1"/>
        </w:numPr>
        <w:spacing w:line="360" w:lineRule="atLeast"/>
        <w:jc w:val="both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样本不需要稀释</w:t>
      </w:r>
    </w:p>
    <w:p>
      <w:pPr>
        <w:jc w:val="both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4、反应时间≦20分钟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0F398"/>
    <w:multiLevelType w:val="singleLevel"/>
    <w:tmpl w:val="7DF0F3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dcterms:modified xsi:type="dcterms:W3CDTF">2021-03-15T01:15:54Z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