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D21D3">
      <w:pPr>
        <w:jc w:val="both"/>
        <w:rPr>
          <w:rFonts w:hint="eastAsia" w:ascii="宋体" w:hAnsi="宋体" w:eastAsia="宋体" w:cs="宋体"/>
          <w:b/>
          <w:bCs/>
          <w:sz w:val="24"/>
          <w:szCs w:val="24"/>
          <w:lang w:eastAsia="zh-CN"/>
        </w:rPr>
      </w:pPr>
    </w:p>
    <w:p w14:paraId="4BA05AAF">
      <w:pPr>
        <w:spacing w:line="360" w:lineRule="auto"/>
        <w:jc w:val="center"/>
        <w:rPr>
          <w:rFonts w:hint="eastAsia" w:ascii="宋体" w:hAnsi="宋体" w:eastAsia="宋体" w:cs="宋体"/>
          <w:b/>
          <w:bCs/>
          <w:sz w:val="24"/>
          <w:szCs w:val="32"/>
          <w:lang w:val="en-US" w:eastAsia="zh-CN"/>
        </w:rPr>
      </w:pPr>
      <w:r>
        <w:rPr>
          <w:rFonts w:hint="eastAsia" w:ascii="宋体" w:hAnsi="宋体" w:eastAsia="宋体" w:cs="宋体"/>
          <w:b/>
          <w:bCs/>
          <w:sz w:val="32"/>
          <w:szCs w:val="32"/>
          <w:lang w:eastAsia="zh-CN"/>
        </w:rPr>
        <w:t>药物临床试验</w:t>
      </w:r>
      <w:r>
        <w:rPr>
          <w:rFonts w:hint="eastAsia" w:ascii="宋体" w:hAnsi="宋体" w:eastAsia="宋体" w:cs="宋体"/>
          <w:b/>
          <w:bCs/>
          <w:sz w:val="32"/>
          <w:szCs w:val="32"/>
          <w:lang w:val="en-US" w:eastAsia="zh-CN"/>
        </w:rPr>
        <w:t>SAE、SUSAR及DSUR上报和递交指引</w:t>
      </w:r>
    </w:p>
    <w:p w14:paraId="333510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32"/>
          <w:lang w:val="en-US" w:eastAsia="zh-CN"/>
        </w:rPr>
      </w:pPr>
      <w:bookmarkStart w:id="0" w:name="_GoBack"/>
      <w:bookmarkEnd w:id="0"/>
    </w:p>
    <w:p w14:paraId="44FD39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一、SAE/SUSAR/DUSR定义</w:t>
      </w:r>
    </w:p>
    <w:p w14:paraId="12DF43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（一）严重不良事件（SAE）</w:t>
      </w:r>
    </w:p>
    <w:p w14:paraId="7D1720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指试验参与者接受试验用药品后出现的符合以下任一标准的不良医学事件：①死亡；②危及生命；③永久或者严重的残疾或者功能丧失；④需要住院治疗或者延长住院时间；⑤先天性异常或者出生缺陷。</w:t>
      </w:r>
    </w:p>
    <w:p w14:paraId="74D1A4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（二）可疑且非预期严重不良反应（SUSAR）</w:t>
      </w:r>
    </w:p>
    <w:p w14:paraId="10AB14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需同时满足三个核心要素：①严重性：符合上述SAE的判定标准；②可疑性：有合理可能性表明与试验用药品相关（非偶然关联）；③非预期性：临床表现的性质和严重程度超出了试验药物研究者手册、已上市药品说明书或产品特性摘要等已有资料的记载范围。</w:t>
      </w:r>
    </w:p>
    <w:p w14:paraId="0E5AEE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（三）研发期间安全性更新报告（DSUR）</w:t>
      </w:r>
    </w:p>
    <w:p w14:paraId="2B26D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val="0"/>
          <w:bCs w:val="0"/>
          <w:sz w:val="24"/>
          <w:szCs w:val="32"/>
          <w:lang w:val="en-US" w:eastAsia="zh-CN"/>
        </w:rPr>
        <w:t>指申办者定期汇总分析药物临床试验期间收集的所有安全性信息，评估临床试验风险与获益比，并向相关监管部门、临床试验机构及伦理委员会提交的安全性更新报告。</w:t>
      </w:r>
    </w:p>
    <w:p w14:paraId="0EFD39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bidi="zh-CN"/>
        </w:rPr>
        <w:t>二、</w:t>
      </w:r>
      <w:r>
        <w:rPr>
          <w:rFonts w:hint="eastAsia" w:ascii="宋体" w:hAnsi="宋体" w:eastAsia="宋体" w:cs="宋体"/>
          <w:b/>
          <w:bCs/>
          <w:sz w:val="24"/>
          <w:szCs w:val="32"/>
          <w:lang w:val="en-US" w:eastAsia="zh-CN"/>
        </w:rPr>
        <w:t>SAE/SUSAR/DUSR上报和递交</w:t>
      </w:r>
    </w:p>
    <w:p w14:paraId="52FECEA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（一）严重不良事件（SAE）</w:t>
      </w:r>
    </w:p>
    <w:p w14:paraId="55FCC5D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1.首次报告：除试验方案或者其他文件（如研究者手册）中规定不需立即报告的严重不良事件外，研究者应当在获知SAE后24小时内书面报告申办者、伦理委员会和机构办。</w:t>
      </w:r>
      <w:r>
        <w:rPr>
          <w:rFonts w:hint="eastAsia" w:ascii="宋体" w:hAnsi="宋体" w:eastAsia="宋体" w:cs="宋体"/>
          <w:sz w:val="24"/>
          <w:szCs w:val="24"/>
          <w:lang w:eastAsia="zh-CN"/>
        </w:rPr>
        <w:t>如为非工作日，递交机构办</w:t>
      </w:r>
      <w:r>
        <w:rPr>
          <w:rFonts w:hint="eastAsia" w:ascii="宋体" w:hAnsi="宋体" w:eastAsia="宋体" w:cs="宋体"/>
          <w:b w:val="0"/>
          <w:bCs w:val="0"/>
          <w:sz w:val="24"/>
          <w:szCs w:val="32"/>
          <w:lang w:val="en-US" w:eastAsia="zh-CN"/>
        </w:rPr>
        <w:t>资料可发送至专用邮箱（wyzyyjgb@126.com）并电话通知机构办项目管理员或质控员。若初步判断为与试验药物相关（肯定有关/很可能有关/可能有关），需在报告中注明是否疑似SUSAR。</w:t>
      </w:r>
    </w:p>
    <w:p w14:paraId="0A59A9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2.随访报告和总结报告：研究者需持续追踪SAE进展，获知随访结果后尽快将更新信息书面报告申办者、伦理委员会及机构办，内容包括病情变化、治疗措施调整、转归情况、SAE结局等。</w:t>
      </w:r>
    </w:p>
    <w:p w14:paraId="599A1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3.特殊情形：试验参与者或其配偶发生妊娠的，填写《妊娠事件报告表》（附件2）并及时上报，报告时限及要求同SAE。</w:t>
      </w:r>
    </w:p>
    <w:p w14:paraId="6710C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4.递交材料：包括SAE报告表（可采用申办者或机构办模板）、相关医疗记录复印件、合并用药记录、研究者相关性判断依据等；涉及死亡事件的，需额外提供尸检报告（若有）及最终医学报告。报告需注明试验参与者临床试验鉴认代码，隐去真实姓名、身份证号等隐私信息。</w:t>
      </w:r>
    </w:p>
    <w:p w14:paraId="0BDC17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32"/>
          <w:lang w:val="en-US"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二</w:t>
      </w:r>
      <w:r>
        <w:rPr>
          <w:rFonts w:hint="eastAsia" w:ascii="宋体" w:hAnsi="宋体" w:eastAsia="宋体" w:cs="宋体"/>
          <w:color w:val="auto"/>
          <w:sz w:val="24"/>
          <w:szCs w:val="24"/>
          <w:highlight w:val="none"/>
          <w:u w:val="none"/>
          <w:lang w:eastAsia="zh-CN"/>
        </w:rPr>
        <w:t>）</w:t>
      </w:r>
      <w:r>
        <w:rPr>
          <w:rFonts w:hint="eastAsia" w:ascii="宋体" w:hAnsi="宋体" w:eastAsia="宋体" w:cs="宋体"/>
          <w:b/>
          <w:bCs/>
          <w:sz w:val="24"/>
          <w:szCs w:val="32"/>
          <w:lang w:val="en-US" w:eastAsia="zh-CN"/>
        </w:rPr>
        <w:t>可疑且非预期严重不良反应（SUSAR）</w:t>
      </w:r>
    </w:p>
    <w:p w14:paraId="2BF3166C">
      <w:pPr>
        <w:pStyle w:val="2"/>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1.本院SUSAR</w:t>
      </w:r>
      <w:r>
        <w:rPr>
          <w:rFonts w:hint="eastAsia" w:ascii="宋体" w:hAnsi="宋体" w:eastAsia="宋体" w:cs="宋体"/>
          <w:color w:val="auto"/>
          <w:sz w:val="24"/>
          <w:szCs w:val="24"/>
          <w:highlight w:val="none"/>
          <w:u w:val="none"/>
        </w:rPr>
        <w:t>上报时限</w:t>
      </w:r>
      <w:r>
        <w:rPr>
          <w:rFonts w:hint="eastAsia" w:ascii="宋体" w:hAnsi="宋体" w:eastAsia="宋体" w:cs="宋体"/>
          <w:color w:val="auto"/>
          <w:sz w:val="24"/>
          <w:szCs w:val="24"/>
          <w:highlight w:val="none"/>
          <w:u w:val="none"/>
          <w:lang w:val="en-US" w:eastAsia="zh-CN"/>
        </w:rPr>
        <w:t>及要求</w:t>
      </w:r>
    </w:p>
    <w:p w14:paraId="0CFA12A2">
      <w:pPr>
        <w:keepNext w:val="0"/>
        <w:keepLines w:val="0"/>
        <w:pageBreakBefore w:val="0"/>
        <w:kinsoku/>
        <w:wordWrap/>
        <w:overflowPunct/>
        <w:topLinePunct w:val="0"/>
        <w:bidi w:val="0"/>
        <w:spacing w:line="360" w:lineRule="auto"/>
        <w:ind w:left="0"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主要研究者若判断本机构SAE为可疑的SUSAR时，需积极与申办者沟通情况，追踪申办者分析评估结论，要求申办者在收到本机构报告的可疑SUSAR后需在72小时内做出判断并反馈给我院主要研究者，如判断为SUSAR，主要研究者获得申办者整理的纸质版SUSAR报告后24小时内递交伦理委员会</w:t>
      </w:r>
      <w:r>
        <w:rPr>
          <w:rFonts w:hint="eastAsia" w:ascii="宋体" w:hAnsi="宋体" w:eastAsia="宋体" w:cs="宋体"/>
          <w:sz w:val="24"/>
          <w:szCs w:val="24"/>
          <w:lang w:val="en-US" w:eastAsia="zh-CN"/>
        </w:rPr>
        <w:t>、</w:t>
      </w:r>
      <w:r>
        <w:rPr>
          <w:rFonts w:hint="eastAsia" w:ascii="宋体" w:hAnsi="宋体" w:eastAsia="宋体" w:cs="宋体"/>
          <w:sz w:val="24"/>
          <w:szCs w:val="24"/>
        </w:rPr>
        <w:t>机构办。</w:t>
      </w:r>
      <w:r>
        <w:rPr>
          <w:rFonts w:hint="eastAsia" w:ascii="宋体" w:hAnsi="宋体" w:eastAsia="宋体" w:cs="宋体"/>
          <w:sz w:val="24"/>
          <w:szCs w:val="24"/>
          <w:lang w:eastAsia="zh-CN"/>
        </w:rPr>
        <w:t>如为非工作日，递交机构办</w:t>
      </w:r>
      <w:r>
        <w:rPr>
          <w:rFonts w:hint="eastAsia" w:ascii="宋体" w:hAnsi="宋体" w:eastAsia="宋体" w:cs="宋体"/>
          <w:b w:val="0"/>
          <w:bCs w:val="0"/>
          <w:sz w:val="24"/>
          <w:szCs w:val="32"/>
          <w:lang w:val="en-US" w:eastAsia="zh-CN"/>
        </w:rPr>
        <w:t>资料可发送至专用邮箱（wyzyyjgb@126.com）并电话通知机构办项目管理员或质控员。</w:t>
      </w:r>
    </w:p>
    <w:p w14:paraId="72B09BD8">
      <w:pPr>
        <w:pStyle w:val="2"/>
        <w:numPr>
          <w:ilvl w:val="0"/>
          <w:numId w:val="0"/>
        </w:numPr>
        <w:spacing w:line="360" w:lineRule="auto"/>
        <w:ind w:left="0" w:leftChars="0" w:firstLine="420" w:firstLineChars="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2.外院SUSAR上报要求</w:t>
      </w:r>
    </w:p>
    <w:p w14:paraId="7A3CB18B">
      <w:pPr>
        <w:pStyle w:val="2"/>
        <w:numPr>
          <w:ilvl w:val="0"/>
          <w:numId w:val="0"/>
        </w:numPr>
        <w:autoSpaceDE/>
        <w:autoSpaceDN/>
        <w:spacing w:line="360" w:lineRule="auto"/>
        <w:ind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申办者应定期汇总</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每</w:t>
      </w:r>
      <w:r>
        <w:rPr>
          <w:rFonts w:hint="eastAsia" w:ascii="宋体" w:hAnsi="宋体" w:eastAsia="宋体" w:cs="宋体"/>
          <w:color w:val="auto"/>
          <w:sz w:val="24"/>
          <w:szCs w:val="24"/>
          <w:highlight w:val="none"/>
          <w:u w:val="none"/>
          <w:lang w:val="en-US" w:eastAsia="zh-CN"/>
        </w:rPr>
        <w:t>季度</w:t>
      </w:r>
      <w:r>
        <w:rPr>
          <w:rFonts w:hint="eastAsia" w:ascii="宋体" w:hAnsi="宋体" w:eastAsia="宋体" w:cs="宋体"/>
          <w:color w:val="auto"/>
          <w:sz w:val="24"/>
          <w:szCs w:val="24"/>
          <w:highlight w:val="none"/>
          <w:u w:val="none"/>
        </w:rPr>
        <w:t>汇总报告一次</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报告形式为</w:t>
      </w:r>
      <w:r>
        <w:rPr>
          <w:rFonts w:hint="eastAsia" w:ascii="宋体" w:hAnsi="宋体" w:eastAsia="宋体" w:cs="宋体"/>
          <w:color w:val="auto"/>
          <w:sz w:val="24"/>
          <w:szCs w:val="24"/>
          <w:highlight w:val="none"/>
          <w:u w:val="none"/>
        </w:rPr>
        <w:t>申办者将</w:t>
      </w:r>
      <w:r>
        <w:rPr>
          <w:rFonts w:hint="eastAsia" w:ascii="宋体" w:hAnsi="宋体" w:eastAsia="宋体" w:cs="宋体"/>
          <w:color w:val="auto"/>
          <w:sz w:val="24"/>
          <w:szCs w:val="24"/>
          <w:highlight w:val="none"/>
          <w:u w:val="none"/>
          <w:lang w:val="en-US" w:eastAsia="zh-CN"/>
        </w:rPr>
        <w:t>加盖公章纸质版</w:t>
      </w:r>
      <w:r>
        <w:rPr>
          <w:rFonts w:hint="eastAsia" w:ascii="宋体" w:hAnsi="宋体" w:eastAsia="宋体" w:cs="宋体"/>
          <w:color w:val="auto"/>
          <w:sz w:val="24"/>
          <w:szCs w:val="24"/>
          <w:highlight w:val="none"/>
          <w:u w:val="none"/>
        </w:rPr>
        <w:t>SUSAR报告和SUSAR汇总表</w:t>
      </w:r>
      <w:r>
        <w:rPr>
          <w:rFonts w:hint="eastAsia" w:ascii="宋体" w:hAnsi="宋体" w:eastAsia="宋体" w:cs="宋体"/>
          <w:color w:val="auto"/>
          <w:sz w:val="24"/>
          <w:szCs w:val="24"/>
          <w:highlight w:val="none"/>
          <w:u w:val="none"/>
          <w:lang w:val="en-US" w:eastAsia="zh-CN"/>
        </w:rPr>
        <w:t>递交给主要研究者，主要研究者阅读签收后递交到伦理委员会</w:t>
      </w:r>
      <w:r>
        <w:rPr>
          <w:rFonts w:hint="eastAsia" w:ascii="宋体" w:hAnsi="宋体" w:eastAsia="宋体" w:cs="宋体"/>
          <w:color w:val="auto"/>
          <w:sz w:val="24"/>
          <w:szCs w:val="24"/>
          <w:highlight w:val="none"/>
          <w:u w:val="none"/>
        </w:rPr>
        <w:t>。</w:t>
      </w:r>
    </w:p>
    <w:p w14:paraId="5118B75A">
      <w:pPr>
        <w:pStyle w:val="2"/>
        <w:numPr>
          <w:ilvl w:val="-1"/>
          <w:numId w:val="0"/>
        </w:numPr>
        <w:autoSpaceDE/>
        <w:autoSpaceDN/>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rPr>
        <w:t>SUSAR报告</w:t>
      </w:r>
      <w:r>
        <w:rPr>
          <w:rFonts w:hint="eastAsia" w:ascii="宋体" w:hAnsi="宋体" w:eastAsia="宋体" w:cs="宋体"/>
          <w:color w:val="auto"/>
          <w:sz w:val="24"/>
          <w:szCs w:val="24"/>
          <w:highlight w:val="none"/>
          <w:u w:val="none"/>
          <w:lang w:val="en-US" w:eastAsia="zh-CN"/>
        </w:rPr>
        <w:t>评估</w:t>
      </w:r>
    </w:p>
    <w:p w14:paraId="63A90026">
      <w:pPr>
        <w:pStyle w:val="2"/>
        <w:numPr>
          <w:ilvl w:val="-1"/>
          <w:numId w:val="0"/>
        </w:numPr>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根据申办</w:t>
      </w:r>
      <w:r>
        <w:rPr>
          <w:rFonts w:hint="eastAsia" w:ascii="宋体" w:hAnsi="宋体" w:eastAsia="宋体" w:cs="宋体"/>
          <w:color w:val="auto"/>
          <w:sz w:val="24"/>
          <w:szCs w:val="24"/>
          <w:highlight w:val="none"/>
          <w:u w:val="none"/>
          <w:lang w:val="en-US" w:eastAsia="zh-CN"/>
        </w:rPr>
        <w:t>者</w:t>
      </w:r>
      <w:r>
        <w:rPr>
          <w:rFonts w:hint="eastAsia" w:ascii="宋体" w:hAnsi="宋体" w:eastAsia="宋体" w:cs="宋体"/>
          <w:color w:val="auto"/>
          <w:sz w:val="24"/>
          <w:szCs w:val="24"/>
          <w:highlight w:val="none"/>
          <w:u w:val="none"/>
        </w:rPr>
        <w:t>提供的SUSAR报告，主要研究者应衡量继续开展试验的风险和获益，如</w:t>
      </w:r>
      <w:r>
        <w:rPr>
          <w:rFonts w:hint="eastAsia" w:ascii="宋体" w:hAnsi="宋体" w:eastAsia="宋体" w:cs="宋体"/>
          <w:color w:val="auto"/>
          <w:sz w:val="24"/>
          <w:szCs w:val="24"/>
          <w:highlight w:val="none"/>
          <w:u w:val="none"/>
          <w:lang w:val="en-US" w:eastAsia="zh-CN"/>
        </w:rPr>
        <w:t>试验参与者</w:t>
      </w:r>
      <w:r>
        <w:rPr>
          <w:rFonts w:hint="eastAsia" w:ascii="宋体" w:hAnsi="宋体" w:eastAsia="宋体" w:cs="宋体"/>
          <w:color w:val="auto"/>
          <w:sz w:val="24"/>
          <w:szCs w:val="24"/>
          <w:highlight w:val="none"/>
          <w:u w:val="none"/>
        </w:rPr>
        <w:t>继续参与试验的风险/获益比明显增高，应考虑采取及时和恰当的措施保护</w:t>
      </w:r>
      <w:r>
        <w:rPr>
          <w:rFonts w:hint="eastAsia" w:ascii="宋体" w:hAnsi="宋体" w:eastAsia="宋体" w:cs="宋体"/>
          <w:color w:val="auto"/>
          <w:sz w:val="24"/>
          <w:szCs w:val="24"/>
          <w:highlight w:val="none"/>
          <w:u w:val="none"/>
          <w:lang w:val="en-US" w:eastAsia="zh-CN"/>
        </w:rPr>
        <w:t>试验参与者</w:t>
      </w:r>
      <w:r>
        <w:rPr>
          <w:rFonts w:hint="eastAsia" w:ascii="宋体" w:hAnsi="宋体" w:eastAsia="宋体" w:cs="宋体"/>
          <w:color w:val="auto"/>
          <w:sz w:val="24"/>
          <w:szCs w:val="24"/>
          <w:highlight w:val="none"/>
          <w:u w:val="none"/>
        </w:rPr>
        <w:t>安全和权益。</w:t>
      </w:r>
    </w:p>
    <w:p w14:paraId="03984F81">
      <w:pPr>
        <w:pStyle w:val="2"/>
        <w:numPr>
          <w:ilvl w:val="0"/>
          <w:numId w:val="0"/>
        </w:numPr>
        <w:spacing w:line="360" w:lineRule="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kern w:val="2"/>
          <w:sz w:val="24"/>
          <w:szCs w:val="24"/>
          <w:lang w:val="en-US" w:eastAsia="zh-CN" w:bidi="ar-SA"/>
        </w:rPr>
        <w:t>三、</w:t>
      </w:r>
      <w:r>
        <w:rPr>
          <w:rFonts w:hint="eastAsia" w:ascii="宋体" w:hAnsi="宋体" w:eastAsia="宋体" w:cs="宋体"/>
          <w:b/>
          <w:bCs/>
          <w:color w:val="auto"/>
          <w:sz w:val="24"/>
          <w:szCs w:val="24"/>
          <w:highlight w:val="none"/>
          <w:u w:val="none"/>
          <w:lang w:val="en-US" w:eastAsia="zh-CN"/>
        </w:rPr>
        <w:t>研发期间安全性更新报告（DSUR）</w:t>
      </w:r>
    </w:p>
    <w:p w14:paraId="6F976AEA">
      <w:pPr>
        <w:keepNext w:val="0"/>
        <w:keepLines w:val="0"/>
        <w:pageBreakBefore w:val="0"/>
        <w:kinsoku/>
        <w:wordWrap/>
        <w:overflowPunct/>
        <w:topLinePunct w:val="0"/>
        <w:bidi w:val="0"/>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申办者提供的DSUR应当包括临床试验风险与获益的评估，有关信息通报给所有参加临床试验的研究者，研究者每</w:t>
      </w:r>
      <w:r>
        <w:rPr>
          <w:rFonts w:hint="eastAsia" w:ascii="宋体" w:hAnsi="宋体" w:eastAsia="宋体" w:cs="宋体"/>
          <w:sz w:val="24"/>
          <w:szCs w:val="24"/>
          <w:lang w:eastAsia="zh-CN"/>
        </w:rPr>
        <w:t>年</w:t>
      </w:r>
      <w:r>
        <w:rPr>
          <w:rFonts w:hint="eastAsia" w:ascii="宋体" w:hAnsi="宋体" w:eastAsia="宋体" w:cs="宋体"/>
          <w:sz w:val="24"/>
          <w:szCs w:val="24"/>
        </w:rPr>
        <w:t>递交伦理委员会。</w:t>
      </w:r>
    </w:p>
    <w:p w14:paraId="51D5D760">
      <w:pPr>
        <w:keepNext w:val="0"/>
        <w:keepLines w:val="0"/>
        <w:pageBreakBefore w:val="0"/>
        <w:kinsoku/>
        <w:wordWrap/>
        <w:overflowPunct/>
        <w:topLinePunct w:val="0"/>
        <w:bidi w:val="0"/>
        <w:spacing w:line="360" w:lineRule="auto"/>
        <w:ind w:left="0" w:leftChars="0" w:firstLine="480" w:firstLineChars="200"/>
        <w:jc w:val="left"/>
        <w:textAlignment w:val="auto"/>
        <w:rPr>
          <w:rFonts w:hint="eastAsia" w:ascii="宋体" w:hAnsi="宋体" w:eastAsia="宋体" w:cs="宋体"/>
          <w:sz w:val="24"/>
          <w:szCs w:val="24"/>
          <w:lang w:val="en-US" w:eastAsia="zh-CN"/>
        </w:rPr>
      </w:pPr>
    </w:p>
    <w:p w14:paraId="224AA02D">
      <w:pPr>
        <w:spacing w:line="360" w:lineRule="auto"/>
        <w:ind w:firstLine="482" w:firstLineChars="200"/>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附件</w:t>
      </w:r>
    </w:p>
    <w:tbl>
      <w:tblPr>
        <w:tblStyle w:val="5"/>
        <w:tblpPr w:leftFromText="180" w:rightFromText="180" w:vertAnchor="text" w:horzAnchor="page" w:tblpX="2291" w:tblpY="73"/>
        <w:tblOverlap w:val="never"/>
        <w:tblW w:w="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9"/>
        <w:gridCol w:w="7071"/>
      </w:tblGrid>
      <w:tr w14:paraId="2FD3C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29" w:type="dxa"/>
            <w:shd w:val="clear" w:color="auto" w:fill="auto"/>
            <w:vAlign w:val="center"/>
          </w:tcPr>
          <w:p w14:paraId="6D26C956">
            <w:pPr>
              <w:keepNext w:val="0"/>
              <w:keepLines w:val="0"/>
              <w:widowControl/>
              <w:suppressLineNumbers w:val="0"/>
              <w:spacing w:line="454"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附件1</w:t>
            </w:r>
          </w:p>
        </w:tc>
        <w:tc>
          <w:tcPr>
            <w:tcW w:w="7071" w:type="dxa"/>
            <w:shd w:val="clear" w:color="auto" w:fill="auto"/>
            <w:vAlign w:val="center"/>
          </w:tcPr>
          <w:p w14:paraId="2C313EA4">
            <w:pPr>
              <w:keepNext w:val="0"/>
              <w:keepLines w:val="0"/>
              <w:widowControl/>
              <w:suppressLineNumbers w:val="0"/>
              <w:spacing w:line="454"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严重不良事件报告表</w:t>
            </w:r>
          </w:p>
        </w:tc>
      </w:tr>
      <w:tr w14:paraId="4183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29" w:type="dxa"/>
            <w:shd w:val="clear" w:color="auto" w:fill="auto"/>
            <w:vAlign w:val="center"/>
          </w:tcPr>
          <w:p w14:paraId="738BA357">
            <w:pPr>
              <w:keepNext w:val="0"/>
              <w:keepLines w:val="0"/>
              <w:widowControl/>
              <w:suppressLineNumbers w:val="0"/>
              <w:spacing w:line="454"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附件2</w:t>
            </w:r>
          </w:p>
        </w:tc>
        <w:tc>
          <w:tcPr>
            <w:tcW w:w="7071" w:type="dxa"/>
            <w:shd w:val="clear" w:color="auto" w:fill="auto"/>
            <w:vAlign w:val="center"/>
          </w:tcPr>
          <w:p w14:paraId="78DC3E9E">
            <w:pPr>
              <w:keepNext w:val="0"/>
              <w:keepLines w:val="0"/>
              <w:widowControl/>
              <w:suppressLineNumbers w:val="0"/>
              <w:spacing w:line="454"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妊娠事件报告表</w:t>
            </w:r>
          </w:p>
        </w:tc>
      </w:tr>
      <w:tr w14:paraId="03CE9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29" w:type="dxa"/>
            <w:shd w:val="clear" w:color="auto" w:fill="auto"/>
            <w:vAlign w:val="center"/>
          </w:tcPr>
          <w:p w14:paraId="2DAB0A7C">
            <w:pPr>
              <w:keepNext w:val="0"/>
              <w:keepLines w:val="0"/>
              <w:widowControl/>
              <w:suppressLineNumbers w:val="0"/>
              <w:spacing w:line="454" w:lineRule="exact"/>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附件3</w:t>
            </w:r>
          </w:p>
        </w:tc>
        <w:tc>
          <w:tcPr>
            <w:tcW w:w="7071" w:type="dxa"/>
            <w:shd w:val="clear" w:color="auto" w:fill="auto"/>
            <w:vAlign w:val="center"/>
          </w:tcPr>
          <w:p w14:paraId="68ECE63A">
            <w:pPr>
              <w:keepNext w:val="0"/>
              <w:keepLines w:val="0"/>
              <w:widowControl/>
              <w:suppressLineNumbers w:val="0"/>
              <w:spacing w:line="454"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药物临床试验SUSAR报告流程图</w:t>
            </w:r>
          </w:p>
        </w:tc>
      </w:tr>
    </w:tbl>
    <w:p w14:paraId="0D7B05D9">
      <w:pPr>
        <w:spacing w:line="360" w:lineRule="auto"/>
        <w:jc w:val="center"/>
        <w:rPr>
          <w:rFonts w:hint="eastAsia" w:ascii="宋体" w:hAnsi="宋体" w:eastAsia="宋体" w:cs="宋体"/>
          <w:lang w:eastAsia="zh-CN"/>
        </w:rPr>
      </w:pPr>
    </w:p>
    <w:sectPr>
      <w:headerReference r:id="rId3" w:type="default"/>
      <w:footerReference r:id="rId4" w:type="default"/>
      <w:pgSz w:w="11906" w:h="16838"/>
      <w:pgMar w:top="1417" w:right="1417" w:bottom="1417" w:left="1417"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ED52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D539B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ED539B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D5774">
    <w:pPr>
      <w:pStyle w:val="4"/>
      <w:jc w:val="left"/>
      <w:rPr>
        <w:rFonts w:hint="eastAsia" w:ascii="宋体" w:hAnsi="宋体" w:eastAsia="宋体" w:cs="宋体"/>
        <w:u w:val="single"/>
        <w:lang w:val="en-US"/>
      </w:rPr>
    </w:pPr>
    <w:r>
      <w:rPr>
        <w:rFonts w:hint="eastAsia" w:ascii="宋体" w:hAnsi="宋体" w:eastAsia="宋体" w:cs="宋体"/>
        <w:u w:val="single"/>
        <w:lang w:val="en-US"/>
      </w:rPr>
      <w:t xml:space="preserve">江门市五邑中医院                                                       </w:t>
    </w:r>
    <w:r>
      <w:rPr>
        <w:rFonts w:hint="eastAsia" w:ascii="宋体" w:hAnsi="宋体" w:eastAsia="宋体" w:cs="宋体"/>
        <w:u w:val="single"/>
        <w:lang w:val="en-US" w:eastAsia="zh-CN"/>
      </w:rPr>
      <w:t xml:space="preserve">        </w:t>
    </w:r>
    <w:r>
      <w:rPr>
        <w:rFonts w:hint="eastAsia" w:ascii="宋体" w:hAnsi="宋体" w:eastAsia="宋体" w:cs="宋体"/>
        <w:u w:val="single"/>
        <w:lang w:val="en-US"/>
      </w:rPr>
      <w:t xml:space="preserve">        V1.0/20260115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75EC4"/>
    <w:rsid w:val="05F11F65"/>
    <w:rsid w:val="0753787D"/>
    <w:rsid w:val="084C447C"/>
    <w:rsid w:val="0B84338B"/>
    <w:rsid w:val="0CBF6EAE"/>
    <w:rsid w:val="18CE1A4B"/>
    <w:rsid w:val="1C543631"/>
    <w:rsid w:val="1F475682"/>
    <w:rsid w:val="1FDC618D"/>
    <w:rsid w:val="236D7BC5"/>
    <w:rsid w:val="322D0A30"/>
    <w:rsid w:val="345A36BE"/>
    <w:rsid w:val="3AAD6AE4"/>
    <w:rsid w:val="3FDD7C49"/>
    <w:rsid w:val="4B8663F4"/>
    <w:rsid w:val="4C1F7ECC"/>
    <w:rsid w:val="543470AC"/>
    <w:rsid w:val="57052A56"/>
    <w:rsid w:val="57884EE7"/>
    <w:rsid w:val="58C83E84"/>
    <w:rsid w:val="5C5D71EB"/>
    <w:rsid w:val="605B738C"/>
    <w:rsid w:val="6670007B"/>
    <w:rsid w:val="6C2347EC"/>
    <w:rsid w:val="751400A7"/>
    <w:rsid w:val="76E47C17"/>
    <w:rsid w:val="79195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21"/>
      <w:szCs w:val="21"/>
    </w:rPr>
  </w:style>
  <w:style w:type="paragraph" w:styleId="3">
    <w:name w:val="footer"/>
    <w:basedOn w:val="1"/>
    <w:qFormat/>
    <w:uiPriority w:val="0"/>
    <w:pPr>
      <w:tabs>
        <w:tab w:val="center" w:pos="4153"/>
        <w:tab w:val="right" w:pos="8306"/>
      </w:tabs>
      <w:snapToGrid w:val="0"/>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26E5" w:themeColor="hyperlink"/>
      <w:u w:val="single"/>
      <w14:textFill>
        <w14:solidFill>
          <w14:schemeClr w14:val="hlink"/>
        </w14:solidFill>
      </w14:textFill>
    </w:rPr>
  </w:style>
  <w:style w:type="paragraph" w:styleId="9">
    <w:name w:val="List Paragraph"/>
    <w:basedOn w:val="1"/>
    <w:qFormat/>
    <w:uiPriority w:val="1"/>
    <w:pPr>
      <w:ind w:left="1074" w:hanging="530"/>
    </w:pPr>
  </w:style>
  <w:style w:type="paragraph" w:customStyle="1" w:styleId="10">
    <w:name w:val="Table Paragraph"/>
    <w:basedOn w:val="1"/>
    <w:qFormat/>
    <w:uiPriority w:val="1"/>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1260</Words>
  <Characters>1419</Characters>
  <Lines>0</Lines>
  <Paragraphs>0</Paragraphs>
  <TotalTime>4</TotalTime>
  <ScaleCrop>false</ScaleCrop>
  <LinksUpToDate>false</LinksUpToDate>
  <CharactersWithSpaces>1419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2026-01-13T07:09:00Z</dcterms:created>
  <dc:creator>Administrator</dc:creator>
  <cp:lastModifiedBy>何秀玲</cp:lastModifiedBy>
  <dcterms:modified xsi:type="dcterms:W3CDTF">2026-06-04T03:18:44Z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eyJoZGlkIjoiNzhlNzBkYmE5NGM1MTE5OTM1ODFjYmE2ODg3ZDRkNWYiLCJ1c2VySWQiOiIyMzQ3ODQ1ODYifQ==</vt:lpwstr>
  </property>
  <property fmtid="{D5CDD505-2E9C-101B-9397-08002B2CF9AE}" pid="4" name="ICV">
    <vt:lpwstr>F00CCF11E7CD4C4BB5C3B9DFB3B2FA80_12</vt:lpwstr>
  </property>
</Properties>
</file>