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706C9">
      <w:pPr>
        <w:ind w:firstLine="2891" w:firstLineChars="900"/>
        <w:rPr>
          <w:rFonts w:hint="eastAsia"/>
          <w:b/>
          <w:bCs/>
          <w:sz w:val="32"/>
          <w:szCs w:val="32"/>
          <w:lang w:val="en-US" w:eastAsia="zh-CN"/>
        </w:rPr>
      </w:pPr>
      <w:r>
        <w:rPr>
          <w:rFonts w:hint="eastAsia"/>
          <w:b/>
          <w:bCs/>
          <w:sz w:val="32"/>
          <w:szCs w:val="32"/>
          <w:lang w:val="en-US" w:eastAsia="zh-CN"/>
        </w:rPr>
        <w:t>江门市五邑中医院</w:t>
      </w:r>
    </w:p>
    <w:p w14:paraId="5600D957">
      <w:pPr>
        <w:ind w:firstLine="2570" w:firstLineChars="800"/>
        <w:rPr>
          <w:rFonts w:hint="default"/>
          <w:b/>
          <w:bCs/>
          <w:sz w:val="32"/>
          <w:szCs w:val="32"/>
          <w:lang w:val="en-US" w:eastAsia="zh-CN"/>
        </w:rPr>
      </w:pPr>
      <w:r>
        <w:rPr>
          <w:rFonts w:hint="eastAsia"/>
          <w:b/>
          <w:bCs/>
          <w:sz w:val="32"/>
          <w:szCs w:val="32"/>
          <w:lang w:val="en-US" w:eastAsia="zh-CN"/>
        </w:rPr>
        <w:t>临床试验机构质控</w:t>
      </w:r>
      <w:r>
        <w:rPr>
          <w:rFonts w:hint="default"/>
          <w:b/>
          <w:bCs/>
          <w:sz w:val="32"/>
          <w:szCs w:val="32"/>
          <w:lang w:val="en-US" w:eastAsia="zh-CN"/>
        </w:rPr>
        <w:t>指引</w:t>
      </w:r>
    </w:p>
    <w:p w14:paraId="64D699CA">
      <w:pPr>
        <w:ind w:firstLine="964" w:firstLineChars="400"/>
        <w:rPr>
          <w:rFonts w:hint="default"/>
          <w:b/>
          <w:bCs/>
          <w:sz w:val="24"/>
          <w:szCs w:val="24"/>
          <w:lang w:val="en-US" w:eastAsia="zh-CN"/>
        </w:rPr>
      </w:pPr>
    </w:p>
    <w:p w14:paraId="23107E34">
      <w:pPr>
        <w:spacing w:line="360" w:lineRule="auto"/>
        <w:rPr>
          <w:rFonts w:hint="default"/>
          <w:b/>
          <w:bCs/>
          <w:sz w:val="24"/>
          <w:szCs w:val="24"/>
          <w:lang w:val="en-US" w:eastAsia="zh-CN"/>
        </w:rPr>
      </w:pPr>
      <w:r>
        <w:rPr>
          <w:rFonts w:hint="default"/>
          <w:b/>
          <w:bCs/>
          <w:sz w:val="24"/>
          <w:szCs w:val="24"/>
          <w:lang w:val="en-US" w:eastAsia="zh-CN"/>
        </w:rPr>
        <w:t>一、</w:t>
      </w:r>
      <w:r>
        <w:rPr>
          <w:rFonts w:hint="eastAsia"/>
          <w:b/>
          <w:bCs/>
          <w:sz w:val="24"/>
          <w:szCs w:val="24"/>
          <w:lang w:val="en-US" w:eastAsia="zh-CN"/>
        </w:rPr>
        <w:t>质控时间节点和要求</w:t>
      </w:r>
    </w:p>
    <w:p w14:paraId="73793F6A">
      <w:pPr>
        <w:spacing w:line="360" w:lineRule="auto"/>
        <w:ind w:firstLine="480" w:firstLineChars="200"/>
        <w:rPr>
          <w:rFonts w:hint="eastAsia"/>
          <w:sz w:val="24"/>
          <w:szCs w:val="24"/>
          <w:lang w:val="en-US" w:eastAsia="zh-CN"/>
        </w:rPr>
      </w:pPr>
      <w:r>
        <w:rPr>
          <w:rFonts w:hint="eastAsia"/>
          <w:sz w:val="24"/>
          <w:szCs w:val="24"/>
          <w:lang w:val="en-US" w:eastAsia="zh-CN"/>
        </w:rPr>
        <w:t>1.机构质控员对I-Ⅳ期注册类药物临床试验/II-Ⅲ类注册类医疗器械临床试验质控工作时间节点分别为：①在项目组入组1-3例试验参与者时；②入组例数≥20例或达到本中心计划例数的一半时、应药监局要求“动态递交数据”前、项目数据库“软锁定”前；③末例质控，最后一例试验参与者完成随访；④即结题前/数据库“硬锁定”前。体外诊断试剂项目原则上在预试验时和结题前进行质控。若申请结题质控，项目组成员/CRA应在归档前至少2-3周提出申请。</w:t>
      </w:r>
    </w:p>
    <w:p w14:paraId="61D1DDA1">
      <w:pPr>
        <w:spacing w:line="360" w:lineRule="auto"/>
        <w:ind w:firstLine="480" w:firstLineChars="200"/>
        <w:rPr>
          <w:rFonts w:hint="default"/>
          <w:sz w:val="24"/>
          <w:szCs w:val="24"/>
          <w:lang w:val="en-US" w:eastAsia="zh-CN"/>
        </w:rPr>
      </w:pPr>
      <w:r>
        <w:rPr>
          <w:rFonts w:hint="eastAsia"/>
          <w:sz w:val="24"/>
          <w:szCs w:val="24"/>
          <w:lang w:val="en-US" w:eastAsia="zh-CN"/>
        </w:rPr>
        <w:t>2.</w:t>
      </w:r>
      <w:r>
        <w:rPr>
          <w:rFonts w:hint="default"/>
          <w:sz w:val="24"/>
          <w:szCs w:val="24"/>
          <w:lang w:val="en-US" w:eastAsia="zh-CN"/>
        </w:rPr>
        <w:t>每个项目需授权至少一名研究者作为项目的质控员进行自查。专业组质控需在机构质控节点前完成。若项目组</w:t>
      </w:r>
      <w:r>
        <w:rPr>
          <w:rFonts w:hint="eastAsia"/>
          <w:sz w:val="24"/>
          <w:szCs w:val="24"/>
          <w:lang w:val="en-US" w:eastAsia="zh-CN"/>
        </w:rPr>
        <w:t>无</w:t>
      </w:r>
      <w:r>
        <w:rPr>
          <w:rFonts w:hint="default"/>
          <w:sz w:val="24"/>
          <w:szCs w:val="24"/>
          <w:lang w:val="en-US" w:eastAsia="zh-CN"/>
        </w:rPr>
        <w:t>相关</w:t>
      </w:r>
      <w:r>
        <w:rPr>
          <w:rFonts w:hint="eastAsia"/>
          <w:sz w:val="24"/>
          <w:szCs w:val="24"/>
          <w:lang w:val="en-US" w:eastAsia="zh-CN"/>
        </w:rPr>
        <w:t>质控</w:t>
      </w:r>
      <w:r>
        <w:rPr>
          <w:rFonts w:hint="default"/>
          <w:sz w:val="24"/>
          <w:szCs w:val="24"/>
          <w:lang w:val="en-US" w:eastAsia="zh-CN"/>
        </w:rPr>
        <w:t>表格，</w:t>
      </w:r>
      <w:r>
        <w:rPr>
          <w:rFonts w:hint="eastAsia"/>
          <w:sz w:val="24"/>
          <w:szCs w:val="24"/>
          <w:lang w:val="en-US" w:eastAsia="zh-CN"/>
        </w:rPr>
        <w:t>则</w:t>
      </w:r>
      <w:r>
        <w:rPr>
          <w:rFonts w:hint="default"/>
          <w:sz w:val="24"/>
          <w:szCs w:val="24"/>
          <w:lang w:val="en-US" w:eastAsia="zh-CN"/>
        </w:rPr>
        <w:t>使用机构提供的</w:t>
      </w:r>
      <w:r>
        <w:rPr>
          <w:rFonts w:hint="eastAsia"/>
          <w:sz w:val="24"/>
          <w:szCs w:val="24"/>
          <w:lang w:val="en-US" w:eastAsia="zh-CN"/>
        </w:rPr>
        <w:t>《药物/医疗器械临床试验质控表（专业组）》</w:t>
      </w:r>
      <w:r>
        <w:rPr>
          <w:rFonts w:hint="default"/>
          <w:sz w:val="24"/>
          <w:szCs w:val="24"/>
          <w:lang w:val="en-US" w:eastAsia="zh-CN"/>
        </w:rPr>
        <w:t>和</w:t>
      </w:r>
      <w:r>
        <w:rPr>
          <w:rFonts w:hint="eastAsia"/>
          <w:sz w:val="24"/>
          <w:szCs w:val="24"/>
          <w:lang w:val="en-US" w:eastAsia="zh-CN"/>
        </w:rPr>
        <w:t>《药物/医疗器械临床试验</w:t>
      </w:r>
      <w:r>
        <w:rPr>
          <w:rFonts w:hint="default"/>
          <w:sz w:val="24"/>
          <w:szCs w:val="24"/>
          <w:lang w:val="en-US" w:eastAsia="zh-CN"/>
        </w:rPr>
        <w:t>安全性事件</w:t>
      </w:r>
      <w:r>
        <w:rPr>
          <w:rFonts w:hint="eastAsia"/>
          <w:sz w:val="24"/>
          <w:szCs w:val="24"/>
          <w:lang w:val="en-US" w:eastAsia="zh-CN"/>
        </w:rPr>
        <w:t>记录表》</w:t>
      </w:r>
      <w:r>
        <w:rPr>
          <w:rFonts w:hint="default"/>
          <w:sz w:val="24"/>
          <w:szCs w:val="24"/>
          <w:lang w:val="en-US" w:eastAsia="zh-CN"/>
        </w:rPr>
        <w:t>记录质控情况。</w:t>
      </w:r>
    </w:p>
    <w:p w14:paraId="5B023C9B">
      <w:pPr>
        <w:spacing w:line="360" w:lineRule="auto"/>
        <w:ind w:firstLine="480" w:firstLineChars="200"/>
        <w:rPr>
          <w:rFonts w:hint="eastAsia"/>
          <w:sz w:val="24"/>
          <w:szCs w:val="24"/>
          <w:lang w:val="en-US" w:eastAsia="zh-CN"/>
        </w:rPr>
      </w:pPr>
      <w:r>
        <w:rPr>
          <w:rFonts w:hint="eastAsia"/>
          <w:sz w:val="24"/>
          <w:szCs w:val="24"/>
          <w:lang w:val="en-US" w:eastAsia="zh-CN"/>
        </w:rPr>
        <w:t>3.专业组质控员应在项目实施前熟悉项目实施的关键节点、关键难点和复杂流程点等，结合专业组质控所发现常见问题，有计划地预防问题、发现问题和解决问题。</w:t>
      </w:r>
    </w:p>
    <w:p w14:paraId="40BFD518">
      <w:pPr>
        <w:spacing w:line="360" w:lineRule="auto"/>
        <w:ind w:firstLine="480" w:firstLineChars="200"/>
        <w:rPr>
          <w:rFonts w:hint="default"/>
          <w:sz w:val="24"/>
          <w:szCs w:val="24"/>
          <w:lang w:val="en-US" w:eastAsia="zh-CN"/>
        </w:rPr>
      </w:pPr>
      <w:r>
        <w:rPr>
          <w:rFonts w:hint="eastAsia"/>
          <w:sz w:val="24"/>
          <w:szCs w:val="24"/>
          <w:lang w:val="en-US" w:eastAsia="zh-CN"/>
        </w:rPr>
        <w:t>4.所有注册类项目均应申请第三方稽查。</w:t>
      </w:r>
    </w:p>
    <w:p w14:paraId="35E6FCBC">
      <w:pPr>
        <w:spacing w:line="360" w:lineRule="auto"/>
        <w:ind w:firstLine="480" w:firstLineChars="200"/>
        <w:rPr>
          <w:rFonts w:hint="eastAsia"/>
          <w:sz w:val="24"/>
          <w:szCs w:val="24"/>
          <w:lang w:val="en-US" w:eastAsia="zh-CN"/>
        </w:rPr>
      </w:pPr>
      <w:r>
        <w:rPr>
          <w:rFonts w:hint="eastAsia"/>
          <w:sz w:val="24"/>
          <w:szCs w:val="24"/>
          <w:lang w:val="en-US" w:eastAsia="zh-CN"/>
        </w:rPr>
        <w:t>5.特殊情况处理：</w:t>
      </w:r>
    </w:p>
    <w:p w14:paraId="105C5E90">
      <w:pPr>
        <w:spacing w:line="360" w:lineRule="auto"/>
        <w:ind w:firstLine="480" w:firstLineChars="200"/>
        <w:rPr>
          <w:rFonts w:hint="eastAsia"/>
          <w:sz w:val="24"/>
          <w:szCs w:val="24"/>
          <w:lang w:val="en-US" w:eastAsia="zh-CN"/>
        </w:rPr>
      </w:pPr>
      <w:r>
        <w:rPr>
          <w:rFonts w:hint="eastAsia"/>
          <w:sz w:val="24"/>
          <w:szCs w:val="24"/>
          <w:lang w:val="en-US" w:eastAsia="zh-CN"/>
        </w:rPr>
        <w:t>5.1.已启动但尚未入组就停止的项目，提供由申办者盖章、研究者签字的情况说明至机构办备案，机构办评估项目风险后决定是否需要质控；</w:t>
      </w:r>
    </w:p>
    <w:p w14:paraId="7D50B48F">
      <w:pPr>
        <w:spacing w:line="360" w:lineRule="auto"/>
        <w:ind w:firstLine="480" w:firstLineChars="200"/>
        <w:rPr>
          <w:rFonts w:hint="eastAsia"/>
          <w:sz w:val="24"/>
          <w:szCs w:val="24"/>
          <w:lang w:val="en-US" w:eastAsia="zh-CN"/>
        </w:rPr>
      </w:pPr>
      <w:r>
        <w:rPr>
          <w:rFonts w:hint="eastAsia"/>
          <w:sz w:val="24"/>
          <w:szCs w:val="24"/>
          <w:lang w:val="en-US" w:eastAsia="zh-CN"/>
        </w:rPr>
        <w:t>5.2.不进行注册申报的项目，提供《不注册声明》（附件1）及完整的监查报告至机构办备案，机构办评估项目风险后决定是否需要质控；</w:t>
      </w:r>
    </w:p>
    <w:p w14:paraId="5010B9F2">
      <w:pPr>
        <w:spacing w:line="360" w:lineRule="auto"/>
        <w:ind w:firstLine="480" w:firstLineChars="200"/>
        <w:rPr>
          <w:rFonts w:hint="eastAsia"/>
          <w:sz w:val="24"/>
          <w:szCs w:val="24"/>
          <w:lang w:val="en-US" w:eastAsia="zh-CN"/>
        </w:rPr>
      </w:pPr>
      <w:r>
        <w:rPr>
          <w:rFonts w:hint="eastAsia"/>
          <w:sz w:val="24"/>
          <w:szCs w:val="24"/>
          <w:lang w:val="en-US" w:eastAsia="zh-CN"/>
        </w:rPr>
        <w:t>5.3.已经接受过国家药品监督管理局核查的项目，提供《临床试验现场核查资料一致性声明》（附件2）及核查通知至机构办备案，机构办评估项目风险后决定是否需要质控；</w:t>
      </w:r>
    </w:p>
    <w:p w14:paraId="6314A16E">
      <w:pPr>
        <w:spacing w:line="360" w:lineRule="auto"/>
        <w:ind w:firstLine="480" w:firstLineChars="200"/>
        <w:rPr>
          <w:rFonts w:hint="eastAsia"/>
          <w:sz w:val="24"/>
          <w:szCs w:val="24"/>
          <w:lang w:val="en-US" w:eastAsia="zh-CN"/>
        </w:rPr>
      </w:pPr>
      <w:r>
        <w:rPr>
          <w:rFonts w:hint="eastAsia"/>
          <w:sz w:val="24"/>
          <w:szCs w:val="24"/>
          <w:lang w:val="en-US" w:eastAsia="zh-CN"/>
        </w:rPr>
        <w:t>5.4.已开展稽查的项目，机构办将对稽查报告评估项目风险后决定是否需要质控。</w:t>
      </w:r>
    </w:p>
    <w:p w14:paraId="4965DF15">
      <w:pPr>
        <w:spacing w:line="360" w:lineRule="auto"/>
        <w:rPr>
          <w:rFonts w:hint="default"/>
          <w:b/>
          <w:bCs/>
          <w:sz w:val="24"/>
          <w:szCs w:val="24"/>
          <w:lang w:val="en-US" w:eastAsia="zh-CN"/>
        </w:rPr>
      </w:pPr>
      <w:r>
        <w:rPr>
          <w:rFonts w:hint="default"/>
          <w:b/>
          <w:bCs/>
          <w:sz w:val="24"/>
          <w:szCs w:val="24"/>
          <w:lang w:val="en-US" w:eastAsia="zh-CN"/>
        </w:rPr>
        <w:t>二、质控实施</w:t>
      </w:r>
    </w:p>
    <w:p w14:paraId="5754AC63">
      <w:pPr>
        <w:spacing w:line="360" w:lineRule="auto"/>
        <w:ind w:firstLine="480" w:firstLineChars="200"/>
        <w:rPr>
          <w:rFonts w:hint="default"/>
          <w:sz w:val="24"/>
          <w:szCs w:val="24"/>
          <w:lang w:val="en-US" w:eastAsia="zh-CN"/>
        </w:rPr>
      </w:pPr>
      <w:r>
        <w:rPr>
          <w:rFonts w:hint="eastAsia"/>
          <w:sz w:val="24"/>
          <w:szCs w:val="24"/>
          <w:lang w:val="en-US" w:eastAsia="zh-CN"/>
        </w:rPr>
        <w:t>1.</w:t>
      </w:r>
      <w:r>
        <w:rPr>
          <w:rFonts w:hint="default"/>
          <w:sz w:val="24"/>
          <w:szCs w:val="24"/>
          <w:lang w:val="en-US" w:eastAsia="zh-CN"/>
        </w:rPr>
        <w:t>在试验项目进度达到时间节点后，CRA或CRC应及时提醒</w:t>
      </w:r>
      <w:r>
        <w:rPr>
          <w:rFonts w:hint="eastAsia"/>
          <w:sz w:val="24"/>
          <w:szCs w:val="24"/>
          <w:lang w:val="en-US" w:eastAsia="zh-CN"/>
        </w:rPr>
        <w:t>专业组</w:t>
      </w:r>
      <w:r>
        <w:rPr>
          <w:rFonts w:hint="default"/>
          <w:sz w:val="24"/>
          <w:szCs w:val="24"/>
          <w:lang w:val="en-US" w:eastAsia="zh-CN"/>
        </w:rPr>
        <w:t>质控员完成质控，</w:t>
      </w:r>
      <w:r>
        <w:rPr>
          <w:rFonts w:hint="eastAsia"/>
          <w:sz w:val="24"/>
          <w:szCs w:val="24"/>
          <w:lang w:val="en-US" w:eastAsia="zh-CN"/>
        </w:rPr>
        <w:t>将PI签字后的质控记录表和安全性事件记录表发送至机构办质控专用邮箱，</w:t>
      </w:r>
      <w:r>
        <w:rPr>
          <w:rFonts w:hint="default"/>
          <w:sz w:val="24"/>
          <w:szCs w:val="24"/>
          <w:lang w:val="en-US" w:eastAsia="zh-CN"/>
        </w:rPr>
        <w:t>在专业组质控完成后尽快与机构</w:t>
      </w:r>
      <w:r>
        <w:rPr>
          <w:rFonts w:hint="eastAsia"/>
          <w:sz w:val="24"/>
          <w:szCs w:val="24"/>
          <w:lang w:val="en-US" w:eastAsia="zh-CN"/>
        </w:rPr>
        <w:t>办</w:t>
      </w:r>
      <w:r>
        <w:rPr>
          <w:rFonts w:hint="default"/>
          <w:sz w:val="24"/>
          <w:szCs w:val="24"/>
          <w:lang w:val="en-US" w:eastAsia="zh-CN"/>
        </w:rPr>
        <w:t>质控员预约质控时间和地点。</w:t>
      </w:r>
      <w:r>
        <w:rPr>
          <w:rFonts w:hint="eastAsia"/>
          <w:sz w:val="24"/>
          <w:szCs w:val="24"/>
          <w:lang w:val="en-US" w:eastAsia="zh-CN"/>
        </w:rPr>
        <w:t>机构办质控专用邮箱：wyzyyjgbzk@163.com；</w:t>
      </w:r>
      <w:r>
        <w:rPr>
          <w:rFonts w:hint="default"/>
          <w:sz w:val="24"/>
          <w:szCs w:val="24"/>
          <w:lang w:val="en-US" w:eastAsia="zh-CN"/>
        </w:rPr>
        <w:t>机构办公室电话：</w:t>
      </w:r>
      <w:r>
        <w:rPr>
          <w:rFonts w:hint="eastAsia"/>
          <w:sz w:val="24"/>
          <w:szCs w:val="24"/>
          <w:lang w:val="en-US" w:eastAsia="zh-CN"/>
        </w:rPr>
        <w:t>0750</w:t>
      </w:r>
      <w:r>
        <w:rPr>
          <w:rFonts w:hint="default"/>
          <w:sz w:val="24"/>
          <w:szCs w:val="24"/>
          <w:lang w:val="en-US" w:eastAsia="zh-CN"/>
        </w:rPr>
        <w:t>-</w:t>
      </w:r>
      <w:r>
        <w:rPr>
          <w:rFonts w:hint="eastAsia"/>
          <w:sz w:val="24"/>
          <w:szCs w:val="24"/>
          <w:lang w:val="en-US" w:eastAsia="zh-CN"/>
        </w:rPr>
        <w:t>3509641</w:t>
      </w:r>
      <w:r>
        <w:rPr>
          <w:rFonts w:hint="default"/>
          <w:sz w:val="24"/>
          <w:szCs w:val="24"/>
          <w:lang w:val="en-US" w:eastAsia="zh-CN"/>
        </w:rPr>
        <w:t>。</w:t>
      </w:r>
    </w:p>
    <w:p w14:paraId="6688EAFD">
      <w:pPr>
        <w:spacing w:line="360" w:lineRule="auto"/>
        <w:ind w:firstLine="440"/>
        <w:rPr>
          <w:rFonts w:hint="eastAsia"/>
          <w:sz w:val="24"/>
          <w:szCs w:val="24"/>
          <w:lang w:val="en-US" w:eastAsia="zh-CN"/>
        </w:rPr>
      </w:pPr>
      <w:r>
        <w:rPr>
          <w:rFonts w:hint="eastAsia"/>
          <w:sz w:val="24"/>
          <w:szCs w:val="24"/>
          <w:lang w:val="en-US" w:eastAsia="zh-CN"/>
        </w:rPr>
        <w:t>2.CRA或CRC应协助专业组质控员在质控开始前按《质控预约与要求》（附件3）准备资料，并搬运至质控地点。若项目没有CRA或CRC，则此项工作由专业组质控员负责。</w:t>
      </w:r>
    </w:p>
    <w:p w14:paraId="5A43415D">
      <w:pPr>
        <w:spacing w:line="360" w:lineRule="auto"/>
        <w:ind w:firstLine="440"/>
        <w:rPr>
          <w:rFonts w:hint="eastAsia"/>
          <w:sz w:val="24"/>
          <w:szCs w:val="24"/>
          <w:lang w:val="en-US" w:eastAsia="zh-CN"/>
        </w:rPr>
      </w:pPr>
      <w:r>
        <w:rPr>
          <w:rFonts w:hint="eastAsia"/>
          <w:sz w:val="24"/>
          <w:szCs w:val="24"/>
          <w:lang w:val="en-US" w:eastAsia="zh-CN"/>
        </w:rPr>
        <w:t>3.安排至少一名熟悉试验项目的CRA或CRC陪同质控员检查，能回答质控员现场提出关于试验项目的疑问，将质控发现的问题记录、传达给项目组并提醒其尽快整改（原则上10个工作日内完成）。质控相关文件往来应使用机构办质控专用邮箱进行收发。</w:t>
      </w:r>
    </w:p>
    <w:p w14:paraId="655C308E">
      <w:pPr>
        <w:spacing w:line="360" w:lineRule="auto"/>
        <w:ind w:firstLine="440"/>
        <w:rPr>
          <w:rFonts w:hint="default"/>
          <w:sz w:val="24"/>
          <w:szCs w:val="24"/>
          <w:lang w:val="en-US" w:eastAsia="zh-CN"/>
        </w:rPr>
      </w:pPr>
      <w:r>
        <w:rPr>
          <w:rFonts w:hint="eastAsia"/>
          <w:sz w:val="24"/>
          <w:szCs w:val="24"/>
          <w:lang w:val="en-US" w:eastAsia="zh-CN"/>
        </w:rPr>
        <w:t>4.CRA或CRC协助项目组完成质控问题整改，将质控员、PI填写的《项目质控检查意见反馈表》以提交机构办归档。</w:t>
      </w:r>
    </w:p>
    <w:p w14:paraId="620FD32D">
      <w:pPr>
        <w:spacing w:line="360" w:lineRule="auto"/>
        <w:ind w:firstLine="440"/>
        <w:rPr>
          <w:rFonts w:hint="default"/>
          <w:sz w:val="24"/>
          <w:szCs w:val="24"/>
          <w:lang w:val="en-US" w:eastAsia="zh-CN"/>
        </w:rPr>
      </w:pPr>
      <w:r>
        <w:rPr>
          <w:rFonts w:hint="eastAsia"/>
          <w:sz w:val="24"/>
          <w:szCs w:val="24"/>
          <w:lang w:val="en-US" w:eastAsia="zh-CN"/>
        </w:rPr>
        <w:t>以下附件：</w:t>
      </w:r>
    </w:p>
    <w:p w14:paraId="0565A9D1">
      <w:pPr>
        <w:spacing w:line="360" w:lineRule="auto"/>
        <w:rPr>
          <w:rFonts w:hint="eastAsia"/>
          <w:sz w:val="24"/>
          <w:szCs w:val="24"/>
          <w:lang w:val="en-US" w:eastAsia="zh-CN"/>
        </w:rPr>
      </w:pPr>
    </w:p>
    <w:p w14:paraId="44E49C10">
      <w:pPr>
        <w:spacing w:line="360" w:lineRule="auto"/>
        <w:rPr>
          <w:rFonts w:hint="eastAsia"/>
          <w:sz w:val="24"/>
          <w:szCs w:val="24"/>
          <w:lang w:val="en-US" w:eastAsia="zh-CN"/>
        </w:rPr>
      </w:pPr>
    </w:p>
    <w:p w14:paraId="0F82A3AC">
      <w:pPr>
        <w:rPr>
          <w:rFonts w:hint="eastAsia"/>
          <w:lang w:val="en-US" w:eastAsia="zh-CN"/>
        </w:rPr>
        <w:sectPr>
          <w:headerReference r:id="rId3" w:type="default"/>
          <w:pgSz w:w="11906" w:h="16838"/>
          <w:pgMar w:top="1417" w:right="1417" w:bottom="1417" w:left="1417" w:header="1134" w:footer="850" w:gutter="0"/>
          <w:paperSrc/>
          <w:cols w:space="0" w:num="1"/>
          <w:rtlGutter w:val="0"/>
          <w:docGrid w:type="lines" w:linePitch="312" w:charSpace="0"/>
        </w:sectPr>
      </w:pPr>
    </w:p>
    <w:p w14:paraId="72E12CCA">
      <w:pPr>
        <w:rPr>
          <w:rFonts w:hint="eastAsia"/>
          <w:b/>
          <w:bCs/>
          <w:sz w:val="24"/>
          <w:szCs w:val="24"/>
          <w:lang w:val="en-US" w:eastAsia="zh-CN"/>
        </w:rPr>
      </w:pPr>
      <w:r>
        <w:rPr>
          <w:rFonts w:hint="eastAsia"/>
          <w:b/>
          <w:bCs/>
          <w:sz w:val="24"/>
          <w:szCs w:val="24"/>
          <w:lang w:val="en-US" w:eastAsia="zh-CN"/>
        </w:rPr>
        <w:t>附件1</w:t>
      </w:r>
    </w:p>
    <w:p w14:paraId="567F8B6D">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w:t>
      </w:r>
    </w:p>
    <w:p w14:paraId="13622410">
      <w:pPr>
        <w:ind w:firstLine="2891" w:firstLineChars="900"/>
        <w:jc w:val="both"/>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不注册声明</w:t>
      </w:r>
      <w:bookmarkStart w:id="1" w:name="_GoBack"/>
      <w:bookmarkEnd w:id="1"/>
    </w:p>
    <w:p w14:paraId="1710A443">
      <w:pPr>
        <w:ind w:firstLine="2168" w:firstLineChars="900"/>
        <w:jc w:val="both"/>
        <w:rPr>
          <w:rFonts w:hint="eastAsia" w:asciiTheme="minorEastAsia" w:hAnsiTheme="minorEastAsia" w:eastAsiaTheme="minorEastAsia" w:cstheme="minorEastAsia"/>
          <w:b/>
          <w:bCs/>
          <w:sz w:val="24"/>
          <w:szCs w:val="24"/>
          <w:lang w:val="en-US" w:eastAsia="zh-CN"/>
        </w:rPr>
      </w:pPr>
    </w:p>
    <w:p w14:paraId="15B50007">
      <w:pPr>
        <w:rPr>
          <w:rFonts w:hint="eastAsia" w:asciiTheme="minorEastAsia" w:hAnsiTheme="minorEastAsia" w:eastAsiaTheme="minorEastAsia" w:cstheme="minorEastAsia"/>
          <w:color w:val="FF0000"/>
          <w:sz w:val="28"/>
          <w:szCs w:val="28"/>
          <w:lang w:val="en-US" w:eastAsia="zh-CN"/>
        </w:rPr>
      </w:pPr>
      <w:r>
        <w:rPr>
          <w:rFonts w:hint="eastAsia" w:asciiTheme="minorEastAsia" w:hAnsiTheme="minorEastAsia" w:eastAsiaTheme="minorEastAsia" w:cstheme="minorEastAsia"/>
          <w:color w:val="FF0000"/>
          <w:sz w:val="28"/>
          <w:szCs w:val="28"/>
          <w:lang w:val="en-US" w:eastAsia="zh-CN"/>
        </w:rPr>
        <w:t>注意事项：1、请补充红色字体中的内容，并将红色字体改为黑色</w:t>
      </w:r>
    </w:p>
    <w:p w14:paraId="5BCECA22">
      <w:pPr>
        <w:ind w:firstLine="1400" w:firstLineChars="500"/>
        <w:rPr>
          <w:rFonts w:hint="eastAsia" w:asciiTheme="minorEastAsia" w:hAnsiTheme="minorEastAsia" w:eastAsiaTheme="minorEastAsia" w:cstheme="minorEastAsia"/>
          <w:color w:val="FF0000"/>
          <w:sz w:val="28"/>
          <w:szCs w:val="28"/>
          <w:lang w:val="en-US" w:eastAsia="zh-CN"/>
        </w:rPr>
      </w:pPr>
      <w:r>
        <w:rPr>
          <w:rFonts w:hint="eastAsia" w:asciiTheme="minorEastAsia" w:hAnsiTheme="minorEastAsia" w:eastAsiaTheme="minorEastAsia" w:cstheme="minorEastAsia"/>
          <w:color w:val="FF0000"/>
          <w:sz w:val="28"/>
          <w:szCs w:val="28"/>
          <w:lang w:val="en-US" w:eastAsia="zh-CN"/>
        </w:rPr>
        <w:t>2、打印资料前请删除注意事项中的所有内容</w:t>
      </w:r>
    </w:p>
    <w:p w14:paraId="5C2BC1C1">
      <w:pPr>
        <w:rPr>
          <w:rFonts w:hint="eastAsia" w:asciiTheme="minorEastAsia" w:hAnsiTheme="minorEastAsia" w:eastAsiaTheme="minorEastAsia" w:cstheme="minorEastAsia"/>
          <w:sz w:val="28"/>
          <w:szCs w:val="28"/>
          <w:lang w:val="en-US" w:eastAsia="zh-CN"/>
        </w:rPr>
      </w:pPr>
    </w:p>
    <w:p w14:paraId="7AB6ECF2">
      <w:pPr>
        <w:rPr>
          <w:rFonts w:hint="eastAsia" w:asciiTheme="minorEastAsia" w:hAnsiTheme="minorEastAsia" w:eastAsiaTheme="minorEastAsia" w:cstheme="minorEastAsia"/>
          <w:sz w:val="28"/>
          <w:szCs w:val="28"/>
          <w:lang w:val="en-US" w:eastAsia="zh-CN"/>
        </w:rPr>
      </w:pPr>
    </w:p>
    <w:p w14:paraId="17AE69E4">
      <w:pPr>
        <w:spacing w:line="360" w:lineRule="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江门市五邑中医院临床试验机构：</w:t>
      </w:r>
    </w:p>
    <w:p w14:paraId="2F292B8E">
      <w:pPr>
        <w:spacing w:line="360" w:lineRule="auto"/>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由</w:t>
      </w:r>
      <w:r>
        <w:rPr>
          <w:rFonts w:hint="eastAsia" w:asciiTheme="minorEastAsia" w:hAnsiTheme="minorEastAsia" w:eastAsiaTheme="minorEastAsia" w:cstheme="minorEastAsia"/>
          <w:color w:val="FF0000"/>
          <w:sz w:val="28"/>
          <w:szCs w:val="28"/>
          <w:u w:val="single"/>
          <w:lang w:val="en-US" w:eastAsia="zh-CN"/>
        </w:rPr>
        <w:t xml:space="preserve">  申办者名称  </w:t>
      </w:r>
      <w:r>
        <w:rPr>
          <w:rFonts w:hint="eastAsia" w:asciiTheme="minorEastAsia" w:hAnsiTheme="minorEastAsia" w:eastAsiaTheme="minorEastAsia" w:cstheme="minorEastAsia"/>
          <w:sz w:val="28"/>
          <w:szCs w:val="28"/>
          <w:lang w:val="en-US" w:eastAsia="zh-CN"/>
        </w:rPr>
        <w:t>开展的</w:t>
      </w:r>
      <w:r>
        <w:rPr>
          <w:rFonts w:hint="eastAsia" w:asciiTheme="minorEastAsia" w:hAnsiTheme="minorEastAsia" w:eastAsiaTheme="minorEastAsia" w:cstheme="minorEastAsia"/>
          <w:color w:val="FF0000"/>
          <w:sz w:val="28"/>
          <w:szCs w:val="28"/>
          <w:u w:val="single"/>
          <w:lang w:val="en-US" w:eastAsia="zh-CN"/>
        </w:rPr>
        <w:t xml:space="preserve">    项目名称  </w:t>
      </w:r>
      <w:r>
        <w:rPr>
          <w:rFonts w:hint="eastAsia" w:asciiTheme="minorEastAsia" w:hAnsiTheme="minorEastAsia" w:eastAsiaTheme="minorEastAsia" w:cstheme="minorEastAsia"/>
          <w:sz w:val="28"/>
          <w:szCs w:val="28"/>
          <w:lang w:val="en-US" w:eastAsia="zh-CN"/>
        </w:rPr>
        <w:t xml:space="preserve">（项目立项编号），在江门市五邑中医院 </w:t>
      </w:r>
      <w:r>
        <w:rPr>
          <w:rFonts w:hint="eastAsia" w:asciiTheme="minorEastAsia" w:hAnsiTheme="minorEastAsia" w:eastAsiaTheme="minorEastAsia" w:cstheme="minorEastAsia"/>
          <w:color w:val="FF0000"/>
          <w:sz w:val="28"/>
          <w:szCs w:val="28"/>
          <w:u w:val="single"/>
          <w:lang w:val="en-US" w:eastAsia="zh-CN"/>
        </w:rPr>
        <w:t>科室名称</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none"/>
          <w:lang w:val="en-US" w:eastAsia="zh-CN"/>
        </w:rPr>
        <w:t>，</w:t>
      </w:r>
      <w:r>
        <w:rPr>
          <w:rFonts w:hint="eastAsia" w:asciiTheme="minorEastAsia" w:hAnsiTheme="minorEastAsia" w:eastAsiaTheme="minorEastAsia" w:cstheme="minorEastAsia"/>
          <w:color w:val="FF0000"/>
          <w:sz w:val="28"/>
          <w:szCs w:val="28"/>
          <w:u w:val="single"/>
          <w:lang w:val="en-US" w:eastAsia="zh-CN"/>
        </w:rPr>
        <w:t xml:space="preserve">PI为      </w:t>
      </w:r>
      <w:r>
        <w:rPr>
          <w:rFonts w:hint="eastAsia" w:asciiTheme="minorEastAsia" w:hAnsiTheme="minorEastAsia" w:eastAsiaTheme="minorEastAsia" w:cstheme="minorEastAsia"/>
          <w:sz w:val="28"/>
          <w:szCs w:val="28"/>
          <w:lang w:val="en-US" w:eastAsia="zh-CN"/>
        </w:rPr>
        <w:t>，由于</w:t>
      </w:r>
      <w:r>
        <w:rPr>
          <w:rFonts w:hint="eastAsia" w:asciiTheme="minorEastAsia" w:hAnsiTheme="minorEastAsia" w:eastAsiaTheme="minorEastAsia" w:cstheme="minorEastAsia"/>
          <w:color w:val="FF0000"/>
          <w:sz w:val="28"/>
          <w:szCs w:val="28"/>
          <w:u w:val="single"/>
          <w:lang w:val="en-US" w:eastAsia="zh-CN"/>
        </w:rPr>
        <w:t xml:space="preserve"> 具体原因 </w:t>
      </w:r>
      <w:r>
        <w:rPr>
          <w:rFonts w:hint="eastAsia" w:asciiTheme="minorEastAsia" w:hAnsiTheme="minorEastAsia" w:eastAsiaTheme="minorEastAsia" w:cstheme="minorEastAsia"/>
          <w:color w:val="FF0000"/>
          <w:sz w:val="28"/>
          <w:szCs w:val="28"/>
          <w:lang w:val="en-US" w:eastAsia="zh-CN"/>
        </w:rPr>
        <w:t xml:space="preserve"> </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color w:val="FF0000"/>
          <w:sz w:val="28"/>
          <w:szCs w:val="28"/>
          <w:u w:val="single"/>
          <w:lang w:val="en-US" w:eastAsia="zh-CN"/>
        </w:rPr>
        <w:t xml:space="preserve">  申办者名称  </w:t>
      </w:r>
      <w:r>
        <w:rPr>
          <w:rFonts w:hint="eastAsia" w:asciiTheme="minorEastAsia" w:hAnsiTheme="minorEastAsia" w:eastAsiaTheme="minorEastAsia" w:cstheme="minorEastAsia"/>
          <w:sz w:val="28"/>
          <w:szCs w:val="28"/>
          <w:lang w:val="en-US" w:eastAsia="zh-CN"/>
        </w:rPr>
        <w:t>不进行新药/器械上市注册申请，相关数据也不进行转让。特此说明！</w:t>
      </w:r>
    </w:p>
    <w:p w14:paraId="223F9141">
      <w:pPr>
        <w:spacing w:line="360" w:lineRule="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w:t>
      </w:r>
    </w:p>
    <w:p w14:paraId="3C4E7D76">
      <w:pPr>
        <w:spacing w:line="360" w:lineRule="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XXXX公司（公章）</w:t>
      </w:r>
    </w:p>
    <w:p w14:paraId="57D10AE7">
      <w:pPr>
        <w:spacing w:line="360" w:lineRule="auto"/>
        <w:ind w:firstLine="5320" w:firstLineChars="19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主要研究者签字：</w:t>
      </w:r>
    </w:p>
    <w:p w14:paraId="5B0A2236">
      <w:pPr>
        <w:spacing w:line="360" w:lineRule="auto"/>
        <w:ind w:firstLine="5320" w:firstLineChars="190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8"/>
          <w:szCs w:val="28"/>
          <w:lang w:val="en-US" w:eastAsia="zh-CN"/>
        </w:rPr>
        <w:t>日期：</w:t>
      </w:r>
    </w:p>
    <w:p w14:paraId="2DC5B4D1">
      <w:pPr>
        <w:spacing w:line="360" w:lineRule="auto"/>
        <w:jc w:val="left"/>
        <w:rPr>
          <w:rFonts w:hint="eastAsia" w:asciiTheme="minorEastAsia" w:hAnsiTheme="minorEastAsia" w:eastAsiaTheme="minorEastAsia" w:cstheme="minorEastAsia"/>
          <w:sz w:val="21"/>
          <w:szCs w:val="21"/>
          <w:lang w:val="en-US" w:eastAsia="zh-CN"/>
        </w:rPr>
        <w:sectPr>
          <w:pgSz w:w="11906" w:h="16838"/>
          <w:pgMar w:top="1440" w:right="1800" w:bottom="1440" w:left="1800" w:header="851" w:footer="992" w:gutter="0"/>
          <w:cols w:space="425" w:num="1"/>
          <w:docGrid w:type="lines" w:linePitch="312" w:charSpace="0"/>
        </w:sectPr>
      </w:pPr>
    </w:p>
    <w:p w14:paraId="4B43724B">
      <w:pPr>
        <w:spacing w:line="24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附件2</w:t>
      </w:r>
    </w:p>
    <w:p w14:paraId="5A86A4CF">
      <w:pPr>
        <w:autoSpaceDE/>
        <w:autoSpaceDN/>
        <w:adjustRightInd/>
        <w:snapToGrid/>
        <w:spacing w:line="240" w:lineRule="auto"/>
        <w:jc w:val="center"/>
        <w:rPr>
          <w:rFonts w:hint="eastAsia" w:asciiTheme="minorEastAsia" w:hAnsiTheme="minorEastAsia" w:eastAsiaTheme="minorEastAsia" w:cstheme="minorEastAsia"/>
          <w:b/>
          <w:bCs/>
          <w:kern w:val="2"/>
          <w:sz w:val="28"/>
          <w:szCs w:val="28"/>
          <w:lang w:val="en-US" w:bidi="ar-SA"/>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b/>
          <w:bCs/>
          <w:kern w:val="2"/>
          <w:sz w:val="28"/>
          <w:szCs w:val="28"/>
          <w:lang w:val="en-US" w:bidi="ar-SA"/>
        </w:rPr>
        <w:t>临床试验现场核查资料一致性声明</w:t>
      </w:r>
    </w:p>
    <w:p w14:paraId="6CD1F3C6">
      <w:pPr>
        <w:autoSpaceDE/>
        <w:autoSpaceDN/>
        <w:adjustRightInd/>
        <w:snapToGrid/>
        <w:spacing w:line="240" w:lineRule="auto"/>
        <w:jc w:val="both"/>
        <w:rPr>
          <w:rFonts w:hint="eastAsia" w:asciiTheme="minorEastAsia" w:hAnsiTheme="minorEastAsia" w:eastAsiaTheme="minorEastAsia" w:cstheme="minorEastAsia"/>
          <w:color w:val="FF0000"/>
          <w:kern w:val="2"/>
          <w:sz w:val="28"/>
          <w:szCs w:val="28"/>
          <w:u w:val="single"/>
          <w:lang w:val="en-US" w:bidi="ar-SA"/>
        </w:rPr>
      </w:pPr>
      <w:r>
        <w:rPr>
          <w:rFonts w:hint="eastAsia" w:asciiTheme="minorEastAsia" w:hAnsiTheme="minorEastAsia" w:eastAsiaTheme="minorEastAsia" w:cstheme="minorEastAsia"/>
          <w:color w:val="FF0000"/>
          <w:kern w:val="2"/>
          <w:sz w:val="28"/>
          <w:szCs w:val="28"/>
          <w:u w:val="single"/>
          <w:lang w:val="en-US" w:bidi="ar-SA"/>
        </w:rPr>
        <w:t>注意事项：1、请补充红色字体中的内容，并将红色字体改为黑色</w:t>
      </w:r>
    </w:p>
    <w:p w14:paraId="5DE717DE">
      <w:pPr>
        <w:autoSpaceDE/>
        <w:autoSpaceDN/>
        <w:adjustRightInd/>
        <w:snapToGrid/>
        <w:spacing w:line="240" w:lineRule="auto"/>
        <w:ind w:firstLine="1400" w:firstLineChars="500"/>
        <w:jc w:val="both"/>
        <w:rPr>
          <w:rFonts w:hint="eastAsia" w:asciiTheme="minorEastAsia" w:hAnsiTheme="minorEastAsia" w:eastAsiaTheme="minorEastAsia" w:cstheme="minorEastAsia"/>
          <w:color w:val="FF0000"/>
          <w:kern w:val="2"/>
          <w:sz w:val="28"/>
          <w:szCs w:val="28"/>
          <w:u w:val="single"/>
          <w:lang w:val="en-US" w:bidi="ar-SA"/>
        </w:rPr>
      </w:pPr>
      <w:r>
        <w:rPr>
          <w:rFonts w:hint="eastAsia" w:asciiTheme="minorEastAsia" w:hAnsiTheme="minorEastAsia" w:eastAsiaTheme="minorEastAsia" w:cstheme="minorEastAsia"/>
          <w:color w:val="FF0000"/>
          <w:kern w:val="2"/>
          <w:sz w:val="28"/>
          <w:szCs w:val="28"/>
          <w:u w:val="single"/>
          <w:lang w:val="en-US" w:bidi="ar-SA"/>
        </w:rPr>
        <w:t>2、打印资料前请删除注意事项中的所有内容</w:t>
      </w:r>
    </w:p>
    <w:p w14:paraId="2A4E5994">
      <w:pPr>
        <w:autoSpaceDE/>
        <w:autoSpaceDN/>
        <w:adjustRightInd/>
        <w:snapToGrid/>
        <w:spacing w:line="240" w:lineRule="auto"/>
        <w:jc w:val="center"/>
        <w:rPr>
          <w:rFonts w:hint="eastAsia" w:asciiTheme="minorEastAsia" w:hAnsiTheme="minorEastAsia" w:eastAsiaTheme="minorEastAsia" w:cstheme="minorEastAsia"/>
          <w:b/>
          <w:bCs/>
          <w:kern w:val="2"/>
          <w:sz w:val="28"/>
          <w:szCs w:val="28"/>
          <w:lang w:val="en-US" w:bidi="ar-SA"/>
        </w:rPr>
      </w:pPr>
    </w:p>
    <w:p w14:paraId="20E100DC">
      <w:pPr>
        <w:autoSpaceDE/>
        <w:autoSpaceDN/>
        <w:adjustRightInd/>
        <w:snapToGrid/>
        <w:spacing w:line="480" w:lineRule="auto"/>
        <w:ind w:firstLine="600"/>
        <w:jc w:val="both"/>
        <w:rPr>
          <w:rFonts w:hint="eastAsia" w:asciiTheme="minorEastAsia" w:hAnsiTheme="minorEastAsia" w:eastAsiaTheme="minorEastAsia" w:cstheme="minorEastAsia"/>
          <w:kern w:val="2"/>
          <w:sz w:val="28"/>
          <w:szCs w:val="28"/>
          <w:lang w:val="en-US" w:bidi="ar-SA"/>
        </w:rPr>
      </w:pPr>
      <w:r>
        <w:rPr>
          <w:rFonts w:hint="eastAsia" w:asciiTheme="minorEastAsia" w:hAnsiTheme="minorEastAsia" w:eastAsiaTheme="minorEastAsia" w:cstheme="minorEastAsia"/>
          <w:kern w:val="2"/>
          <w:sz w:val="28"/>
          <w:szCs w:val="28"/>
          <w:lang w:val="en-US" w:bidi="ar-SA"/>
        </w:rPr>
        <w:t>本试验已于</w:t>
      </w:r>
      <w:r>
        <w:rPr>
          <w:rFonts w:hint="eastAsia" w:asciiTheme="minorEastAsia" w:hAnsiTheme="minorEastAsia" w:eastAsiaTheme="minorEastAsia" w:cstheme="minorEastAsia"/>
          <w:color w:val="FF0000"/>
          <w:kern w:val="2"/>
          <w:sz w:val="28"/>
          <w:szCs w:val="28"/>
          <w:lang w:val="en-US" w:bidi="ar-SA"/>
        </w:rPr>
        <w:t>20XX</w:t>
      </w:r>
      <w:r>
        <w:rPr>
          <w:rFonts w:hint="eastAsia" w:asciiTheme="minorEastAsia" w:hAnsiTheme="minorEastAsia" w:eastAsiaTheme="minorEastAsia" w:cstheme="minorEastAsia"/>
          <w:kern w:val="2"/>
          <w:sz w:val="28"/>
          <w:szCs w:val="28"/>
          <w:lang w:val="en-US" w:bidi="ar-SA"/>
        </w:rPr>
        <w:t>年</w:t>
      </w:r>
      <w:r>
        <w:rPr>
          <w:rFonts w:hint="eastAsia" w:asciiTheme="minorEastAsia" w:hAnsiTheme="minorEastAsia" w:eastAsiaTheme="minorEastAsia" w:cstheme="minorEastAsia"/>
          <w:color w:val="FF0000"/>
          <w:kern w:val="2"/>
          <w:sz w:val="28"/>
          <w:szCs w:val="28"/>
          <w:lang w:val="en-US" w:eastAsia="zh-CN" w:bidi="ar-SA"/>
        </w:rPr>
        <w:t>X</w:t>
      </w:r>
      <w:r>
        <w:rPr>
          <w:rFonts w:hint="eastAsia" w:asciiTheme="minorEastAsia" w:hAnsiTheme="minorEastAsia" w:eastAsiaTheme="minorEastAsia" w:cstheme="minorEastAsia"/>
          <w:color w:val="FF0000"/>
          <w:kern w:val="2"/>
          <w:sz w:val="28"/>
          <w:szCs w:val="28"/>
          <w:lang w:val="en-US" w:bidi="ar-SA"/>
        </w:rPr>
        <w:t>X</w:t>
      </w:r>
      <w:r>
        <w:rPr>
          <w:rFonts w:hint="eastAsia" w:asciiTheme="minorEastAsia" w:hAnsiTheme="minorEastAsia" w:eastAsiaTheme="minorEastAsia" w:cstheme="minorEastAsia"/>
          <w:kern w:val="2"/>
          <w:sz w:val="28"/>
          <w:szCs w:val="28"/>
          <w:lang w:val="en-US" w:bidi="ar-SA"/>
        </w:rPr>
        <w:t>月</w:t>
      </w:r>
      <w:r>
        <w:rPr>
          <w:rFonts w:hint="eastAsia" w:asciiTheme="minorEastAsia" w:hAnsiTheme="minorEastAsia" w:eastAsiaTheme="minorEastAsia" w:cstheme="minorEastAsia"/>
          <w:color w:val="FF0000"/>
          <w:kern w:val="2"/>
          <w:sz w:val="28"/>
          <w:szCs w:val="28"/>
          <w:lang w:val="en-US" w:eastAsia="zh-CN" w:bidi="ar-SA"/>
        </w:rPr>
        <w:t>X</w:t>
      </w:r>
      <w:r>
        <w:rPr>
          <w:rFonts w:hint="eastAsia" w:asciiTheme="minorEastAsia" w:hAnsiTheme="minorEastAsia" w:eastAsiaTheme="minorEastAsia" w:cstheme="minorEastAsia"/>
          <w:color w:val="FF0000"/>
          <w:kern w:val="2"/>
          <w:sz w:val="28"/>
          <w:szCs w:val="28"/>
          <w:lang w:val="en-US" w:bidi="ar-SA"/>
        </w:rPr>
        <w:t>X</w:t>
      </w:r>
      <w:r>
        <w:rPr>
          <w:rFonts w:hint="eastAsia" w:asciiTheme="minorEastAsia" w:hAnsiTheme="minorEastAsia" w:eastAsiaTheme="minorEastAsia" w:cstheme="minorEastAsia"/>
          <w:kern w:val="2"/>
          <w:sz w:val="28"/>
          <w:szCs w:val="28"/>
          <w:lang w:val="en-US" w:bidi="ar-SA"/>
        </w:rPr>
        <w:t>日接受国家药品监督管理局核查，现将现场核查通知（</w:t>
      </w:r>
      <w:r>
        <w:rPr>
          <w:rFonts w:hint="eastAsia" w:asciiTheme="minorEastAsia" w:hAnsiTheme="minorEastAsia" w:eastAsiaTheme="minorEastAsia" w:cstheme="minorEastAsia"/>
          <w:color w:val="FF0000"/>
          <w:kern w:val="2"/>
          <w:sz w:val="28"/>
          <w:szCs w:val="28"/>
          <w:lang w:val="en-US" w:bidi="ar-SA"/>
        </w:rPr>
        <w:t>受理号：</w:t>
      </w:r>
      <w:r>
        <w:rPr>
          <w:rFonts w:hint="eastAsia" w:asciiTheme="minorEastAsia" w:hAnsiTheme="minorEastAsia" w:eastAsiaTheme="minorEastAsia" w:cstheme="minorEastAsia"/>
          <w:color w:val="FF0000"/>
          <w:kern w:val="2"/>
          <w:sz w:val="28"/>
          <w:szCs w:val="28"/>
          <w:lang w:val="en-US" w:eastAsia="zh-CN" w:bidi="ar-SA"/>
        </w:rPr>
        <w:t xml:space="preserve">   </w:t>
      </w:r>
      <w:r>
        <w:rPr>
          <w:rFonts w:hint="eastAsia" w:asciiTheme="minorEastAsia" w:hAnsiTheme="minorEastAsia" w:eastAsiaTheme="minorEastAsia" w:cstheme="minorEastAsia"/>
          <w:kern w:val="2"/>
          <w:sz w:val="28"/>
          <w:szCs w:val="28"/>
          <w:lang w:val="en-US" w:bidi="ar-SA"/>
        </w:rPr>
        <w:t>）递交至机构。</w:t>
      </w:r>
    </w:p>
    <w:p w14:paraId="57D7AB3E">
      <w:pPr>
        <w:autoSpaceDE/>
        <w:autoSpaceDN/>
        <w:adjustRightInd/>
        <w:snapToGrid/>
        <w:spacing w:line="240" w:lineRule="auto"/>
        <w:jc w:val="both"/>
        <w:rPr>
          <w:rFonts w:hint="eastAsia" w:asciiTheme="minorEastAsia" w:hAnsiTheme="minorEastAsia" w:eastAsiaTheme="minorEastAsia" w:cstheme="minorEastAsia"/>
          <w:kern w:val="2"/>
          <w:sz w:val="28"/>
          <w:szCs w:val="28"/>
          <w:lang w:val="en-US" w:bidi="ar-SA"/>
        </w:rPr>
      </w:pPr>
      <w:r>
        <w:rPr>
          <w:rFonts w:hint="eastAsia" w:asciiTheme="minorEastAsia" w:hAnsiTheme="minorEastAsia" w:eastAsiaTheme="minorEastAsia" w:cstheme="minorEastAsia"/>
          <w:kern w:val="2"/>
          <w:sz w:val="28"/>
          <w:szCs w:val="28"/>
          <w:lang w:val="en-US" w:bidi="ar-SA"/>
        </w:rPr>
        <w:t>我公司声明：本试验提交至</w:t>
      </w:r>
      <w:r>
        <w:rPr>
          <w:rFonts w:hint="eastAsia" w:asciiTheme="minorEastAsia" w:hAnsiTheme="minorEastAsia" w:eastAsiaTheme="minorEastAsia" w:cstheme="minorEastAsia"/>
          <w:kern w:val="2"/>
          <w:sz w:val="28"/>
          <w:szCs w:val="28"/>
          <w:lang w:val="en-US" w:eastAsia="zh-CN" w:bidi="ar-SA"/>
        </w:rPr>
        <w:t>江门市五邑中医院</w:t>
      </w:r>
      <w:r>
        <w:rPr>
          <w:rFonts w:hint="eastAsia" w:asciiTheme="minorEastAsia" w:hAnsiTheme="minorEastAsia" w:eastAsiaTheme="minorEastAsia" w:cstheme="minorEastAsia"/>
          <w:kern w:val="2"/>
          <w:sz w:val="28"/>
          <w:szCs w:val="28"/>
          <w:highlight w:val="none"/>
          <w:lang w:val="en-US" w:bidi="ar-SA"/>
        </w:rPr>
        <w:t>临床试验机构</w:t>
      </w:r>
      <w:r>
        <w:rPr>
          <w:rFonts w:hint="eastAsia" w:asciiTheme="minorEastAsia" w:hAnsiTheme="minorEastAsia" w:eastAsiaTheme="minorEastAsia" w:cstheme="minorEastAsia"/>
          <w:kern w:val="2"/>
          <w:sz w:val="28"/>
          <w:szCs w:val="28"/>
          <w:lang w:val="en-US" w:bidi="ar-SA"/>
        </w:rPr>
        <w:t>的核查通知为本公司在</w:t>
      </w:r>
      <w:r>
        <w:rPr>
          <w:rFonts w:hint="eastAsia" w:asciiTheme="minorEastAsia" w:hAnsiTheme="minorEastAsia" w:eastAsiaTheme="minorEastAsia" w:cstheme="minorEastAsia"/>
          <w:kern w:val="2"/>
          <w:sz w:val="28"/>
          <w:szCs w:val="28"/>
          <w:lang w:val="en-US" w:eastAsia="zh-CN" w:bidi="ar-SA"/>
        </w:rPr>
        <w:t>江门市五邑中医院</w:t>
      </w:r>
      <w:r>
        <w:rPr>
          <w:rFonts w:hint="eastAsia" w:asciiTheme="minorEastAsia" w:hAnsiTheme="minorEastAsia" w:eastAsiaTheme="minorEastAsia" w:cstheme="minorEastAsia"/>
          <w:kern w:val="2"/>
          <w:sz w:val="28"/>
          <w:szCs w:val="28"/>
          <w:lang w:val="en-US" w:bidi="ar-SA"/>
        </w:rPr>
        <w:t>开展的项目:</w:t>
      </w:r>
    </w:p>
    <w:p w14:paraId="226E07EE">
      <w:pPr>
        <w:autoSpaceDE/>
        <w:autoSpaceDN/>
        <w:adjustRightInd/>
        <w:snapToGrid/>
        <w:spacing w:line="240" w:lineRule="auto"/>
        <w:jc w:val="both"/>
        <w:rPr>
          <w:rFonts w:hint="eastAsia" w:asciiTheme="minorEastAsia" w:hAnsiTheme="minorEastAsia" w:eastAsiaTheme="minorEastAsia" w:cstheme="minorEastAsia"/>
          <w:color w:val="FF0000"/>
          <w:kern w:val="2"/>
          <w:sz w:val="28"/>
          <w:szCs w:val="28"/>
          <w:lang w:val="en-US" w:bidi="ar-SA"/>
        </w:rPr>
      </w:pPr>
      <w:r>
        <w:rPr>
          <w:rFonts w:hint="eastAsia" w:asciiTheme="minorEastAsia" w:hAnsiTheme="minorEastAsia" w:eastAsiaTheme="minorEastAsia" w:cstheme="minorEastAsia"/>
          <w:color w:val="FF0000"/>
          <w:kern w:val="2"/>
          <w:sz w:val="28"/>
          <w:szCs w:val="28"/>
          <w:lang w:val="en-US" w:bidi="ar-SA"/>
        </w:rPr>
        <w:t>科室: XXXXXXXX</w:t>
      </w:r>
      <w:r>
        <w:rPr>
          <w:rFonts w:hint="eastAsia" w:asciiTheme="minorEastAsia" w:hAnsiTheme="minorEastAsia" w:eastAsiaTheme="minorEastAsia" w:cstheme="minorEastAsia"/>
          <w:color w:val="FF0000"/>
          <w:kern w:val="2"/>
          <w:sz w:val="28"/>
          <w:szCs w:val="28"/>
          <w:lang w:val="en-US" w:eastAsia="zh-CN" w:bidi="ar-SA"/>
        </w:rPr>
        <w:t>；</w:t>
      </w:r>
      <w:r>
        <w:rPr>
          <w:rFonts w:hint="eastAsia" w:asciiTheme="minorEastAsia" w:hAnsiTheme="minorEastAsia" w:eastAsiaTheme="minorEastAsia" w:cstheme="minorEastAsia"/>
          <w:color w:val="FF0000"/>
          <w:kern w:val="2"/>
          <w:sz w:val="28"/>
          <w:szCs w:val="28"/>
          <w:lang w:val="en-US" w:bidi="ar-SA"/>
        </w:rPr>
        <w:t xml:space="preserve"> </w:t>
      </w:r>
      <w:r>
        <w:rPr>
          <w:rFonts w:hint="eastAsia" w:asciiTheme="minorEastAsia" w:hAnsiTheme="minorEastAsia" w:eastAsiaTheme="minorEastAsia" w:cstheme="minorEastAsia"/>
          <w:kern w:val="2"/>
          <w:sz w:val="28"/>
          <w:szCs w:val="28"/>
          <w:lang w:val="en-US" w:bidi="ar-SA"/>
        </w:rPr>
        <w:t>PI:</w:t>
      </w:r>
      <w:r>
        <w:rPr>
          <w:rFonts w:hint="eastAsia" w:asciiTheme="minorEastAsia" w:hAnsiTheme="minorEastAsia" w:eastAsiaTheme="minorEastAsia" w:cstheme="minorEastAsia"/>
          <w:color w:val="FF0000"/>
          <w:kern w:val="2"/>
          <w:sz w:val="28"/>
          <w:szCs w:val="28"/>
          <w:lang w:val="en-US" w:bidi="ar-SA"/>
        </w:rPr>
        <w:t>XXXXXXXX</w:t>
      </w:r>
      <w:r>
        <w:rPr>
          <w:rFonts w:hint="eastAsia" w:asciiTheme="minorEastAsia" w:hAnsiTheme="minorEastAsia" w:eastAsiaTheme="minorEastAsia" w:cstheme="minorEastAsia"/>
          <w:color w:val="FF0000"/>
          <w:kern w:val="2"/>
          <w:sz w:val="28"/>
          <w:szCs w:val="28"/>
          <w:lang w:val="en-US" w:eastAsia="zh-CN" w:bidi="ar-SA"/>
        </w:rPr>
        <w:t>；</w:t>
      </w:r>
      <w:r>
        <w:rPr>
          <w:rFonts w:hint="eastAsia" w:asciiTheme="minorEastAsia" w:hAnsiTheme="minorEastAsia" w:eastAsiaTheme="minorEastAsia" w:cstheme="minorEastAsia"/>
          <w:color w:val="FF0000"/>
          <w:kern w:val="2"/>
          <w:sz w:val="28"/>
          <w:szCs w:val="28"/>
          <w:lang w:val="en-US" w:bidi="ar-SA"/>
        </w:rPr>
        <w:t xml:space="preserve"> </w:t>
      </w:r>
    </w:p>
    <w:p w14:paraId="78AEDDB3">
      <w:pPr>
        <w:autoSpaceDE/>
        <w:autoSpaceDN/>
        <w:adjustRightInd/>
        <w:snapToGrid/>
        <w:spacing w:line="240" w:lineRule="auto"/>
        <w:jc w:val="both"/>
        <w:rPr>
          <w:rFonts w:hint="eastAsia" w:asciiTheme="minorEastAsia" w:hAnsiTheme="minorEastAsia" w:eastAsiaTheme="minorEastAsia" w:cstheme="minorEastAsia"/>
          <w:color w:val="FF0000"/>
          <w:kern w:val="2"/>
          <w:sz w:val="28"/>
          <w:szCs w:val="28"/>
          <w:lang w:val="en-US" w:eastAsia="zh-CN" w:bidi="ar-SA"/>
        </w:rPr>
      </w:pPr>
      <w:r>
        <w:rPr>
          <w:rFonts w:hint="eastAsia" w:asciiTheme="minorEastAsia" w:hAnsiTheme="minorEastAsia" w:eastAsiaTheme="minorEastAsia" w:cstheme="minorEastAsia"/>
          <w:kern w:val="2"/>
          <w:sz w:val="28"/>
          <w:szCs w:val="28"/>
          <w:lang w:val="en-US" w:bidi="ar-SA"/>
        </w:rPr>
        <w:t>临床试验项目名称：</w:t>
      </w:r>
      <w:r>
        <w:rPr>
          <w:rFonts w:hint="eastAsia" w:asciiTheme="minorEastAsia" w:hAnsiTheme="minorEastAsia" w:eastAsiaTheme="minorEastAsia" w:cstheme="minorEastAsia"/>
          <w:color w:val="FF0000"/>
          <w:kern w:val="2"/>
          <w:sz w:val="28"/>
          <w:szCs w:val="28"/>
          <w:lang w:val="en-US" w:bidi="ar-SA"/>
        </w:rPr>
        <w:t>XXXXXXXX；</w:t>
      </w:r>
      <w:r>
        <w:rPr>
          <w:rFonts w:hint="eastAsia" w:asciiTheme="minorEastAsia" w:hAnsiTheme="minorEastAsia" w:eastAsiaTheme="minorEastAsia" w:cstheme="minorEastAsia"/>
          <w:color w:val="FF0000"/>
          <w:kern w:val="2"/>
          <w:sz w:val="28"/>
          <w:szCs w:val="28"/>
          <w:lang w:val="en-US" w:eastAsia="zh-CN" w:bidi="ar-SA"/>
        </w:rPr>
        <w:t>项目立项编号：</w:t>
      </w:r>
    </w:p>
    <w:p w14:paraId="2071F0A8">
      <w:pPr>
        <w:autoSpaceDE/>
        <w:autoSpaceDN/>
        <w:adjustRightInd/>
        <w:snapToGrid/>
        <w:spacing w:line="240" w:lineRule="auto"/>
        <w:jc w:val="both"/>
        <w:rPr>
          <w:rFonts w:hint="eastAsia" w:asciiTheme="minorEastAsia" w:hAnsiTheme="minorEastAsia" w:eastAsiaTheme="minorEastAsia" w:cstheme="minorEastAsia"/>
          <w:color w:val="FF0000"/>
          <w:kern w:val="2"/>
          <w:sz w:val="28"/>
          <w:szCs w:val="28"/>
          <w:lang w:val="en-US" w:bidi="ar-SA"/>
        </w:rPr>
      </w:pPr>
    </w:p>
    <w:p w14:paraId="044BFFDE">
      <w:pPr>
        <w:autoSpaceDE/>
        <w:autoSpaceDN/>
        <w:adjustRightInd/>
        <w:snapToGrid/>
        <w:spacing w:line="480" w:lineRule="auto"/>
        <w:ind w:firstLine="600"/>
        <w:jc w:val="both"/>
        <w:rPr>
          <w:rFonts w:hint="eastAsia" w:asciiTheme="minorEastAsia" w:hAnsiTheme="minorEastAsia" w:eastAsiaTheme="minorEastAsia" w:cstheme="minorEastAsia"/>
          <w:kern w:val="2"/>
          <w:sz w:val="28"/>
          <w:szCs w:val="28"/>
          <w:lang w:val="en-US" w:bidi="ar-SA"/>
        </w:rPr>
      </w:pPr>
    </w:p>
    <w:p w14:paraId="7F43B73E">
      <w:pPr>
        <w:autoSpaceDE/>
        <w:autoSpaceDN/>
        <w:adjustRightInd/>
        <w:snapToGrid/>
        <w:spacing w:line="480" w:lineRule="auto"/>
        <w:ind w:firstLine="600"/>
        <w:jc w:val="both"/>
        <w:rPr>
          <w:rFonts w:hint="eastAsia" w:asciiTheme="minorEastAsia" w:hAnsiTheme="minorEastAsia" w:eastAsiaTheme="minorEastAsia" w:cstheme="minorEastAsia"/>
          <w:kern w:val="2"/>
          <w:sz w:val="28"/>
          <w:szCs w:val="28"/>
          <w:lang w:val="en-US" w:bidi="ar-SA"/>
        </w:rPr>
      </w:pPr>
      <w:r>
        <w:rPr>
          <w:rFonts w:hint="eastAsia" w:asciiTheme="minorEastAsia" w:hAnsiTheme="minorEastAsia" w:eastAsiaTheme="minorEastAsia" w:cstheme="minorEastAsia"/>
          <w:kern w:val="2"/>
          <w:sz w:val="28"/>
          <w:szCs w:val="28"/>
          <w:lang w:val="en-US" w:bidi="ar-SA"/>
        </w:rPr>
        <w:t>我公司如有违反上述声明，将承担一切法律责任，及由此产生的一切后果。</w:t>
      </w:r>
    </w:p>
    <w:p w14:paraId="59F64DA4">
      <w:pPr>
        <w:autoSpaceDE/>
        <w:autoSpaceDN/>
        <w:adjustRightInd/>
        <w:snapToGrid/>
        <w:spacing w:line="600" w:lineRule="auto"/>
        <w:ind w:firstLine="4760" w:firstLineChars="1700"/>
        <w:jc w:val="both"/>
        <w:rPr>
          <w:rFonts w:hint="eastAsia" w:asciiTheme="minorEastAsia" w:hAnsiTheme="minorEastAsia" w:eastAsiaTheme="minorEastAsia" w:cstheme="minorEastAsia"/>
          <w:kern w:val="2"/>
          <w:sz w:val="28"/>
          <w:szCs w:val="28"/>
          <w:lang w:val="en-US" w:bidi="ar-SA"/>
        </w:rPr>
      </w:pPr>
      <w:bookmarkStart w:id="0" w:name="_Hlk66460413"/>
      <w:r>
        <w:rPr>
          <w:rFonts w:hint="eastAsia" w:asciiTheme="minorEastAsia" w:hAnsiTheme="minorEastAsia" w:eastAsiaTheme="minorEastAsia" w:cstheme="minorEastAsia"/>
          <w:color w:val="FF0000"/>
          <w:kern w:val="2"/>
          <w:sz w:val="28"/>
          <w:szCs w:val="28"/>
          <w:lang w:val="en-US" w:bidi="ar-SA"/>
        </w:rPr>
        <w:t>XXXX</w:t>
      </w:r>
      <w:r>
        <w:rPr>
          <w:rFonts w:hint="eastAsia" w:asciiTheme="minorEastAsia" w:hAnsiTheme="minorEastAsia" w:eastAsiaTheme="minorEastAsia" w:cstheme="minorEastAsia"/>
          <w:kern w:val="2"/>
          <w:sz w:val="28"/>
          <w:szCs w:val="28"/>
          <w:lang w:val="en-US" w:bidi="ar-SA"/>
        </w:rPr>
        <w:t>公司（盖章）</w:t>
      </w:r>
    </w:p>
    <w:p w14:paraId="592406D6">
      <w:pPr>
        <w:autoSpaceDE/>
        <w:autoSpaceDN/>
        <w:adjustRightInd/>
        <w:snapToGrid/>
        <w:spacing w:line="600" w:lineRule="auto"/>
        <w:ind w:firstLine="600"/>
        <w:jc w:val="both"/>
        <w:rPr>
          <w:rFonts w:hint="eastAsia" w:asciiTheme="minorEastAsia" w:hAnsiTheme="minorEastAsia" w:eastAsiaTheme="minorEastAsia" w:cstheme="minorEastAsia"/>
          <w:color w:val="FF0000"/>
          <w:kern w:val="2"/>
          <w:sz w:val="28"/>
          <w:szCs w:val="28"/>
          <w:u w:val="single"/>
          <w:lang w:val="en-US" w:bidi="ar-SA"/>
        </w:rPr>
      </w:pPr>
      <w:r>
        <w:rPr>
          <w:rFonts w:hint="eastAsia" w:asciiTheme="minorEastAsia" w:hAnsiTheme="minorEastAsia" w:eastAsiaTheme="minorEastAsia" w:cstheme="minorEastAsia"/>
          <w:kern w:val="2"/>
          <w:sz w:val="28"/>
          <w:szCs w:val="28"/>
          <w:lang w:val="en-US" w:bidi="ar-SA"/>
        </w:rPr>
        <w:t xml:space="preserve">                       负责人签名：</w:t>
      </w:r>
      <w:r>
        <w:rPr>
          <w:rFonts w:hint="eastAsia" w:asciiTheme="minorEastAsia" w:hAnsiTheme="minorEastAsia" w:eastAsiaTheme="minorEastAsia" w:cstheme="minorEastAsia"/>
          <w:color w:val="FF0000"/>
          <w:kern w:val="2"/>
          <w:sz w:val="28"/>
          <w:szCs w:val="28"/>
          <w:u w:val="single"/>
          <w:lang w:val="en-US" w:bidi="ar-SA"/>
        </w:rPr>
        <w:t>（申办</w:t>
      </w:r>
      <w:r>
        <w:rPr>
          <w:rFonts w:hint="eastAsia" w:asciiTheme="minorEastAsia" w:hAnsiTheme="minorEastAsia" w:eastAsiaTheme="minorEastAsia" w:cstheme="minorEastAsia"/>
          <w:color w:val="FF0000"/>
          <w:kern w:val="2"/>
          <w:sz w:val="28"/>
          <w:szCs w:val="28"/>
          <w:u w:val="single"/>
          <w:lang w:val="en-US" w:eastAsia="zh-CN" w:bidi="ar-SA"/>
        </w:rPr>
        <w:t>者</w:t>
      </w:r>
      <w:r>
        <w:rPr>
          <w:rFonts w:hint="eastAsia" w:asciiTheme="minorEastAsia" w:hAnsiTheme="minorEastAsia" w:eastAsiaTheme="minorEastAsia" w:cstheme="minorEastAsia"/>
          <w:color w:val="FF0000"/>
          <w:kern w:val="2"/>
          <w:sz w:val="28"/>
          <w:szCs w:val="28"/>
          <w:u w:val="single"/>
          <w:lang w:val="en-US" w:bidi="ar-SA"/>
        </w:rPr>
        <w:t>授权的负责人）</w:t>
      </w:r>
    </w:p>
    <w:p w14:paraId="06574442">
      <w:pPr>
        <w:autoSpaceDE/>
        <w:autoSpaceDN/>
        <w:adjustRightInd/>
        <w:snapToGrid/>
        <w:spacing w:line="600" w:lineRule="auto"/>
        <w:ind w:firstLine="3920" w:firstLineChars="1400"/>
        <w:jc w:val="both"/>
        <w:rPr>
          <w:rFonts w:hint="eastAsia" w:asciiTheme="minorEastAsia" w:hAnsiTheme="minorEastAsia" w:eastAsiaTheme="minorEastAsia" w:cstheme="minorEastAsia"/>
          <w:color w:val="auto"/>
          <w:kern w:val="2"/>
          <w:sz w:val="28"/>
          <w:szCs w:val="28"/>
          <w:lang w:val="en-US" w:bidi="ar-SA"/>
        </w:rPr>
      </w:pPr>
      <w:r>
        <w:rPr>
          <w:rFonts w:hint="eastAsia" w:asciiTheme="minorEastAsia" w:hAnsiTheme="minorEastAsia" w:eastAsiaTheme="minorEastAsia" w:cstheme="minorEastAsia"/>
          <w:color w:val="auto"/>
          <w:kern w:val="2"/>
          <w:sz w:val="28"/>
          <w:szCs w:val="28"/>
          <w:u w:val="single"/>
          <w:lang w:val="en-US" w:eastAsia="zh-CN" w:bidi="ar-SA"/>
        </w:rPr>
        <w:t>主要研究者</w:t>
      </w:r>
      <w:r>
        <w:rPr>
          <w:rFonts w:hint="eastAsia" w:asciiTheme="minorEastAsia" w:hAnsiTheme="minorEastAsia" w:eastAsiaTheme="minorEastAsia" w:cstheme="minorEastAsia"/>
          <w:color w:val="auto"/>
          <w:kern w:val="2"/>
          <w:sz w:val="28"/>
          <w:szCs w:val="28"/>
          <w:u w:val="single"/>
          <w:lang w:val="en-US" w:bidi="ar-SA"/>
        </w:rPr>
        <w:t>签字：</w:t>
      </w:r>
    </w:p>
    <w:p w14:paraId="3F4DE93C">
      <w:pPr>
        <w:autoSpaceDE/>
        <w:autoSpaceDN/>
        <w:adjustRightInd/>
        <w:snapToGrid/>
        <w:spacing w:line="480" w:lineRule="auto"/>
        <w:ind w:firstLine="3920" w:firstLineChars="1400"/>
        <w:jc w:val="both"/>
        <w:rPr>
          <w:rFonts w:hint="eastAsia" w:ascii="仿宋_GB2312" w:hAnsi="仿宋_GB2312" w:eastAsia="仿宋_GB2312" w:cs="仿宋_GB2312"/>
          <w:kern w:val="2"/>
          <w:sz w:val="24"/>
          <w:szCs w:val="24"/>
          <w:lang w:val="en-US" w:bidi="ar-SA"/>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kern w:val="2"/>
          <w:sz w:val="28"/>
          <w:szCs w:val="28"/>
          <w:lang w:val="en-US" w:bidi="ar-SA"/>
        </w:rPr>
        <w:t>日期：</w:t>
      </w:r>
      <w:bookmarkEnd w:id="0"/>
    </w:p>
    <w:p w14:paraId="05A9D3AE">
      <w:pPr>
        <w:keepNext w:val="0"/>
        <w:keepLines w:val="0"/>
        <w:widowControl/>
        <w:suppressLineNumbers w:val="0"/>
        <w:autoSpaceDE/>
        <w:autoSpaceDN/>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b/>
          <w:bCs/>
          <w:kern w:val="0"/>
          <w:sz w:val="32"/>
          <w:szCs w:val="32"/>
          <w:lang w:val="en-US" w:eastAsia="zh-CN" w:bidi="ar"/>
        </w:rPr>
      </w:pPr>
      <w:r>
        <w:rPr>
          <w:rFonts w:hint="eastAsia" w:asciiTheme="minorEastAsia" w:hAnsiTheme="minorEastAsia" w:eastAsiaTheme="minorEastAsia" w:cstheme="minorEastAsia"/>
          <w:b/>
          <w:bCs/>
          <w:kern w:val="0"/>
          <w:sz w:val="32"/>
          <w:szCs w:val="32"/>
          <w:lang w:val="en-US" w:eastAsia="zh-CN" w:bidi="ar"/>
        </w:rPr>
        <w:t>质控预约与要求</w:t>
      </w:r>
    </w:p>
    <w:tbl>
      <w:tblPr>
        <w:tblStyle w:val="7"/>
        <w:tblW w:w="14307" w:type="dxa"/>
        <w:tblCellSpacing w:w="0" w:type="dxa"/>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1612"/>
        <w:gridCol w:w="2560"/>
        <w:gridCol w:w="4435"/>
        <w:gridCol w:w="2497"/>
        <w:gridCol w:w="3203"/>
      </w:tblGrid>
      <w:tr w14:paraId="4F8E7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blCellSpacing w:w="0" w:type="dxa"/>
        </w:trPr>
        <w:tc>
          <w:tcPr>
            <w:tcW w:w="1612" w:type="dxa"/>
            <w:tcBorders>
              <w:tl2br w:val="nil"/>
              <w:tr2bl w:val="nil"/>
            </w:tcBorders>
            <w:shd w:val="clear" w:color="auto" w:fill="auto"/>
            <w:noWrap w:val="0"/>
            <w:tcMar>
              <w:top w:w="0" w:type="dxa"/>
              <w:left w:w="108" w:type="dxa"/>
              <w:bottom w:w="0" w:type="dxa"/>
              <w:right w:w="108" w:type="dxa"/>
            </w:tcMar>
            <w:vAlign w:val="center"/>
          </w:tcPr>
          <w:p w14:paraId="3CDB6217">
            <w:pPr>
              <w:widowControl/>
              <w:wordWrap w:val="0"/>
              <w:adjustRightInd/>
              <w:snapToGrid/>
              <w:spacing w:before="0" w:beforeLines="0" w:beforeAutospacing="0" w:after="0" w:afterLines="0" w:afterAutospacing="0" w:line="360" w:lineRule="auto"/>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b/>
                <w:color w:val="auto"/>
                <w:spacing w:val="4"/>
                <w:kern w:val="2"/>
                <w:sz w:val="21"/>
                <w:szCs w:val="21"/>
                <w:lang w:val="en-US" w:eastAsia="zh-CN" w:bidi="ar-SA"/>
              </w:rPr>
              <w:t>阶段</w:t>
            </w:r>
          </w:p>
        </w:tc>
        <w:tc>
          <w:tcPr>
            <w:tcW w:w="2560" w:type="dxa"/>
            <w:tcBorders>
              <w:tl2br w:val="nil"/>
              <w:tr2bl w:val="nil"/>
            </w:tcBorders>
            <w:shd w:val="clear" w:color="auto" w:fill="auto"/>
            <w:noWrap w:val="0"/>
            <w:tcMar>
              <w:top w:w="0" w:type="dxa"/>
              <w:left w:w="108" w:type="dxa"/>
              <w:bottom w:w="0" w:type="dxa"/>
              <w:right w:w="108" w:type="dxa"/>
            </w:tcMar>
            <w:vAlign w:val="top"/>
          </w:tcPr>
          <w:p w14:paraId="46963EEB">
            <w:pPr>
              <w:widowControl/>
              <w:wordWrap w:val="0"/>
              <w:adjustRightInd/>
              <w:snapToGrid/>
              <w:spacing w:before="0" w:beforeLines="0" w:beforeAutospacing="0" w:after="0" w:afterLines="0" w:afterAutospacing="0" w:line="360" w:lineRule="auto"/>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b/>
                <w:color w:val="auto"/>
                <w:spacing w:val="4"/>
                <w:kern w:val="2"/>
                <w:sz w:val="21"/>
                <w:szCs w:val="21"/>
                <w:lang w:val="en-US" w:eastAsia="zh-CN" w:bidi="ar-SA"/>
              </w:rPr>
              <w:t>首次质控</w:t>
            </w:r>
          </w:p>
        </w:tc>
        <w:tc>
          <w:tcPr>
            <w:tcW w:w="4435" w:type="dxa"/>
            <w:tcBorders>
              <w:tl2br w:val="nil"/>
              <w:tr2bl w:val="nil"/>
            </w:tcBorders>
            <w:shd w:val="clear" w:color="auto" w:fill="auto"/>
            <w:noWrap w:val="0"/>
            <w:tcMar>
              <w:top w:w="0" w:type="dxa"/>
              <w:left w:w="108" w:type="dxa"/>
              <w:bottom w:w="0" w:type="dxa"/>
              <w:right w:w="108" w:type="dxa"/>
            </w:tcMar>
            <w:vAlign w:val="top"/>
          </w:tcPr>
          <w:p w14:paraId="4F28734B">
            <w:pPr>
              <w:widowControl/>
              <w:wordWrap w:val="0"/>
              <w:adjustRightInd/>
              <w:snapToGrid/>
              <w:spacing w:before="0" w:beforeLines="0" w:beforeAutospacing="0" w:after="0" w:afterLines="0" w:afterAutospacing="0" w:line="360" w:lineRule="auto"/>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b/>
                <w:color w:val="auto"/>
                <w:spacing w:val="4"/>
                <w:kern w:val="2"/>
                <w:sz w:val="21"/>
                <w:szCs w:val="21"/>
                <w:lang w:val="en-US" w:eastAsia="zh-CN" w:bidi="ar-SA"/>
              </w:rPr>
              <w:t>中期质控</w:t>
            </w:r>
          </w:p>
        </w:tc>
        <w:tc>
          <w:tcPr>
            <w:tcW w:w="2497" w:type="dxa"/>
            <w:tcBorders>
              <w:tl2br w:val="nil"/>
              <w:tr2bl w:val="nil"/>
            </w:tcBorders>
            <w:shd w:val="clear" w:color="auto" w:fill="auto"/>
            <w:noWrap w:val="0"/>
            <w:tcMar>
              <w:top w:w="0" w:type="dxa"/>
              <w:left w:w="108" w:type="dxa"/>
              <w:bottom w:w="0" w:type="dxa"/>
              <w:right w:w="108" w:type="dxa"/>
            </w:tcMar>
            <w:vAlign w:val="top"/>
          </w:tcPr>
          <w:p w14:paraId="495546EE">
            <w:pPr>
              <w:widowControl/>
              <w:wordWrap w:val="0"/>
              <w:adjustRightInd/>
              <w:snapToGrid/>
              <w:spacing w:before="0" w:beforeLines="0" w:beforeAutospacing="0" w:after="0" w:afterLines="0" w:afterAutospacing="0" w:line="360" w:lineRule="auto"/>
              <w:jc w:val="center"/>
              <w:rPr>
                <w:rFonts w:hint="default" w:asciiTheme="minorEastAsia" w:hAnsiTheme="minorEastAsia" w:eastAsiaTheme="minorEastAsia" w:cstheme="minorEastAsia"/>
                <w:b/>
                <w:color w:val="auto"/>
                <w:spacing w:val="4"/>
                <w:kern w:val="2"/>
                <w:sz w:val="21"/>
                <w:szCs w:val="21"/>
                <w:lang w:val="en-US" w:eastAsia="zh-CN" w:bidi="ar-SA"/>
              </w:rPr>
            </w:pPr>
            <w:r>
              <w:rPr>
                <w:rFonts w:hint="eastAsia" w:asciiTheme="minorEastAsia" w:hAnsiTheme="minorEastAsia" w:eastAsiaTheme="minorEastAsia" w:cstheme="minorEastAsia"/>
                <w:b/>
                <w:color w:val="auto"/>
                <w:spacing w:val="4"/>
                <w:kern w:val="2"/>
                <w:sz w:val="21"/>
                <w:szCs w:val="21"/>
                <w:lang w:val="en-US" w:eastAsia="zh-CN" w:bidi="ar-SA"/>
              </w:rPr>
              <w:t>末例质控</w:t>
            </w:r>
          </w:p>
        </w:tc>
        <w:tc>
          <w:tcPr>
            <w:tcW w:w="3203" w:type="dxa"/>
            <w:tcBorders>
              <w:tl2br w:val="nil"/>
              <w:tr2bl w:val="nil"/>
            </w:tcBorders>
            <w:shd w:val="clear" w:color="auto" w:fill="auto"/>
            <w:noWrap w:val="0"/>
            <w:tcMar>
              <w:top w:w="0" w:type="dxa"/>
              <w:left w:w="108" w:type="dxa"/>
              <w:bottom w:w="0" w:type="dxa"/>
              <w:right w:w="108" w:type="dxa"/>
            </w:tcMar>
            <w:vAlign w:val="top"/>
          </w:tcPr>
          <w:p w14:paraId="101EE111">
            <w:pPr>
              <w:widowControl/>
              <w:wordWrap w:val="0"/>
              <w:adjustRightInd/>
              <w:snapToGrid/>
              <w:spacing w:before="0" w:beforeLines="0" w:beforeAutospacing="0" w:after="0" w:afterLines="0" w:afterAutospacing="0" w:line="360" w:lineRule="auto"/>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b/>
                <w:color w:val="auto"/>
                <w:spacing w:val="4"/>
                <w:kern w:val="2"/>
                <w:sz w:val="21"/>
                <w:szCs w:val="21"/>
                <w:lang w:val="en-US" w:eastAsia="zh-CN" w:bidi="ar-SA"/>
              </w:rPr>
              <w:t>结题前质控</w:t>
            </w:r>
          </w:p>
        </w:tc>
      </w:tr>
      <w:tr w14:paraId="53726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1612" w:type="dxa"/>
            <w:tcBorders>
              <w:tl2br w:val="nil"/>
              <w:tr2bl w:val="nil"/>
            </w:tcBorders>
            <w:shd w:val="clear" w:color="auto" w:fill="auto"/>
            <w:noWrap w:val="0"/>
            <w:tcMar>
              <w:top w:w="0" w:type="dxa"/>
              <w:left w:w="108" w:type="dxa"/>
              <w:bottom w:w="0" w:type="dxa"/>
              <w:right w:w="108" w:type="dxa"/>
            </w:tcMar>
            <w:vAlign w:val="center"/>
          </w:tcPr>
          <w:p w14:paraId="5620632E">
            <w:pPr>
              <w:widowControl/>
              <w:wordWrap w:val="0"/>
              <w:adjustRightInd/>
              <w:snapToGrid/>
              <w:spacing w:before="0" w:beforeLines="0" w:beforeAutospacing="0" w:after="0" w:afterLines="0" w:afterAutospacing="0" w:line="360" w:lineRule="auto"/>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b/>
                <w:color w:val="auto"/>
                <w:spacing w:val="4"/>
                <w:kern w:val="2"/>
                <w:sz w:val="21"/>
                <w:szCs w:val="21"/>
                <w:lang w:val="en-US" w:eastAsia="zh-CN" w:bidi="ar-SA"/>
              </w:rPr>
              <w:t>质控时间</w:t>
            </w:r>
          </w:p>
        </w:tc>
        <w:tc>
          <w:tcPr>
            <w:tcW w:w="2560" w:type="dxa"/>
            <w:tcBorders>
              <w:tl2br w:val="nil"/>
              <w:tr2bl w:val="nil"/>
            </w:tcBorders>
            <w:shd w:val="clear" w:color="auto" w:fill="auto"/>
            <w:noWrap w:val="0"/>
            <w:tcMar>
              <w:top w:w="0" w:type="dxa"/>
              <w:left w:w="108" w:type="dxa"/>
              <w:bottom w:w="0" w:type="dxa"/>
              <w:right w:w="108" w:type="dxa"/>
            </w:tcMar>
            <w:vAlign w:val="center"/>
          </w:tcPr>
          <w:p w14:paraId="65E9FBE0">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入组第一例受试者后</w:t>
            </w:r>
          </w:p>
        </w:tc>
        <w:tc>
          <w:tcPr>
            <w:tcW w:w="4435" w:type="dxa"/>
            <w:tcBorders>
              <w:tl2br w:val="nil"/>
              <w:tr2bl w:val="nil"/>
            </w:tcBorders>
            <w:shd w:val="clear" w:color="auto" w:fill="auto"/>
            <w:noWrap w:val="0"/>
            <w:tcMar>
              <w:top w:w="0" w:type="dxa"/>
              <w:left w:w="108" w:type="dxa"/>
              <w:bottom w:w="0" w:type="dxa"/>
              <w:right w:w="108" w:type="dxa"/>
            </w:tcMar>
            <w:vAlign w:val="center"/>
          </w:tcPr>
          <w:p w14:paraId="5C22CE96">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入组例数≥20 例或达到本中心计划例数的一半时、应药监局要求“动态递交数据”前、项目数据库“软锁定”前</w:t>
            </w:r>
          </w:p>
        </w:tc>
        <w:tc>
          <w:tcPr>
            <w:tcW w:w="2497" w:type="dxa"/>
            <w:tcBorders>
              <w:tl2br w:val="nil"/>
              <w:tr2bl w:val="nil"/>
            </w:tcBorders>
            <w:shd w:val="clear" w:color="auto" w:fill="auto"/>
            <w:noWrap w:val="0"/>
            <w:tcMar>
              <w:top w:w="0" w:type="dxa"/>
              <w:left w:w="108" w:type="dxa"/>
              <w:bottom w:w="0" w:type="dxa"/>
              <w:right w:w="108" w:type="dxa"/>
            </w:tcMar>
            <w:vAlign w:val="center"/>
          </w:tcPr>
          <w:p w14:paraId="7F09E416">
            <w:pPr>
              <w:widowControl/>
              <w:wordWrap w:val="0"/>
              <w:adjustRightInd/>
              <w:snapToGrid/>
              <w:spacing w:before="0" w:beforeLines="0" w:beforeAutospacing="0" w:after="0" w:afterLines="0" w:afterAutospacing="0" w:line="360" w:lineRule="auto"/>
              <w:jc w:val="both"/>
              <w:rPr>
                <w:rFonts w:hint="default" w:asciiTheme="minorEastAsia" w:hAnsiTheme="minorEastAsia" w:eastAsiaTheme="minorEastAsia" w:cstheme="minorEastAsia"/>
                <w:color w:val="auto"/>
                <w:spacing w:val="4"/>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最后一例受试者完成随访</w:t>
            </w:r>
          </w:p>
        </w:tc>
        <w:tc>
          <w:tcPr>
            <w:tcW w:w="3203" w:type="dxa"/>
            <w:tcBorders>
              <w:tl2br w:val="nil"/>
              <w:tr2bl w:val="nil"/>
            </w:tcBorders>
            <w:shd w:val="clear" w:color="auto" w:fill="auto"/>
            <w:noWrap w:val="0"/>
            <w:tcMar>
              <w:top w:w="0" w:type="dxa"/>
              <w:left w:w="108" w:type="dxa"/>
              <w:bottom w:w="0" w:type="dxa"/>
              <w:right w:w="108" w:type="dxa"/>
            </w:tcMar>
            <w:vAlign w:val="center"/>
          </w:tcPr>
          <w:p w14:paraId="6AB59EF5">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结题前检查/数据库“硬锁定”前</w:t>
            </w:r>
          </w:p>
        </w:tc>
      </w:tr>
      <w:tr w14:paraId="4B06A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1612" w:type="dxa"/>
            <w:tcBorders>
              <w:tl2br w:val="nil"/>
              <w:tr2bl w:val="nil"/>
            </w:tcBorders>
            <w:shd w:val="clear" w:color="auto" w:fill="auto"/>
            <w:noWrap w:val="0"/>
            <w:tcMar>
              <w:top w:w="0" w:type="dxa"/>
              <w:left w:w="108" w:type="dxa"/>
              <w:bottom w:w="0" w:type="dxa"/>
              <w:right w:w="108" w:type="dxa"/>
            </w:tcMar>
            <w:vAlign w:val="center"/>
          </w:tcPr>
          <w:p w14:paraId="7C924671">
            <w:pPr>
              <w:widowControl/>
              <w:wordWrap w:val="0"/>
              <w:adjustRightInd/>
              <w:snapToGrid/>
              <w:spacing w:before="0" w:beforeLines="0" w:beforeAutospacing="0" w:after="0" w:afterLines="0" w:afterAutospacing="0" w:line="360" w:lineRule="auto"/>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b/>
                <w:color w:val="auto"/>
                <w:spacing w:val="4"/>
                <w:kern w:val="2"/>
                <w:sz w:val="21"/>
                <w:szCs w:val="21"/>
                <w:lang w:val="en-US" w:eastAsia="zh-CN" w:bidi="ar-SA"/>
              </w:rPr>
              <w:t>参与人员</w:t>
            </w:r>
          </w:p>
        </w:tc>
        <w:tc>
          <w:tcPr>
            <w:tcW w:w="2560" w:type="dxa"/>
            <w:tcBorders>
              <w:tl2br w:val="nil"/>
              <w:tr2bl w:val="nil"/>
            </w:tcBorders>
            <w:shd w:val="clear" w:color="auto" w:fill="auto"/>
            <w:noWrap w:val="0"/>
            <w:tcMar>
              <w:top w:w="0" w:type="dxa"/>
              <w:left w:w="108" w:type="dxa"/>
              <w:bottom w:w="0" w:type="dxa"/>
              <w:right w:w="108" w:type="dxa"/>
            </w:tcMar>
            <w:vAlign w:val="center"/>
          </w:tcPr>
          <w:p w14:paraId="3BEF3431">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CRC、CRA</w:t>
            </w:r>
          </w:p>
        </w:tc>
        <w:tc>
          <w:tcPr>
            <w:tcW w:w="4435" w:type="dxa"/>
            <w:tcBorders>
              <w:tl2br w:val="nil"/>
              <w:tr2bl w:val="nil"/>
            </w:tcBorders>
            <w:shd w:val="clear" w:color="auto" w:fill="auto"/>
            <w:noWrap w:val="0"/>
            <w:tcMar>
              <w:top w:w="0" w:type="dxa"/>
              <w:left w:w="108" w:type="dxa"/>
              <w:bottom w:w="0" w:type="dxa"/>
              <w:right w:w="108" w:type="dxa"/>
            </w:tcMar>
            <w:vAlign w:val="center"/>
          </w:tcPr>
          <w:p w14:paraId="6B610DF2">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spacing w:val="4"/>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CRC、CRA</w:t>
            </w:r>
          </w:p>
        </w:tc>
        <w:tc>
          <w:tcPr>
            <w:tcW w:w="2497" w:type="dxa"/>
            <w:tcBorders>
              <w:tl2br w:val="nil"/>
              <w:tr2bl w:val="nil"/>
            </w:tcBorders>
            <w:shd w:val="clear" w:color="auto" w:fill="auto"/>
            <w:noWrap w:val="0"/>
            <w:tcMar>
              <w:top w:w="0" w:type="dxa"/>
              <w:left w:w="108" w:type="dxa"/>
              <w:bottom w:w="0" w:type="dxa"/>
              <w:right w:w="108" w:type="dxa"/>
            </w:tcMar>
            <w:vAlign w:val="center"/>
          </w:tcPr>
          <w:p w14:paraId="71BDE9B8">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spacing w:val="4"/>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CRC、CRA</w:t>
            </w:r>
          </w:p>
        </w:tc>
        <w:tc>
          <w:tcPr>
            <w:tcW w:w="3203" w:type="dxa"/>
            <w:tcBorders>
              <w:tl2br w:val="nil"/>
              <w:tr2bl w:val="nil"/>
            </w:tcBorders>
            <w:shd w:val="clear" w:color="auto" w:fill="auto"/>
            <w:noWrap w:val="0"/>
            <w:tcMar>
              <w:top w:w="0" w:type="dxa"/>
              <w:left w:w="108" w:type="dxa"/>
              <w:bottom w:w="0" w:type="dxa"/>
              <w:right w:w="108" w:type="dxa"/>
            </w:tcMar>
            <w:vAlign w:val="center"/>
          </w:tcPr>
          <w:p w14:paraId="0EBFD7E0">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spacing w:val="4"/>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CRC、CRA</w:t>
            </w:r>
          </w:p>
        </w:tc>
      </w:tr>
      <w:tr w14:paraId="4DCFB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1612" w:type="dxa"/>
            <w:tcBorders>
              <w:tl2br w:val="nil"/>
              <w:tr2bl w:val="nil"/>
            </w:tcBorders>
            <w:shd w:val="clear" w:color="auto" w:fill="auto"/>
            <w:noWrap w:val="0"/>
            <w:tcMar>
              <w:top w:w="0" w:type="dxa"/>
              <w:left w:w="108" w:type="dxa"/>
              <w:bottom w:w="0" w:type="dxa"/>
              <w:right w:w="108" w:type="dxa"/>
            </w:tcMar>
            <w:vAlign w:val="center"/>
          </w:tcPr>
          <w:p w14:paraId="4CBAC577">
            <w:pPr>
              <w:widowControl/>
              <w:wordWrap w:val="0"/>
              <w:adjustRightInd/>
              <w:snapToGrid/>
              <w:spacing w:before="0" w:beforeLines="0" w:beforeAutospacing="0" w:after="0" w:afterLines="0" w:afterAutospacing="0" w:line="360" w:lineRule="auto"/>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b/>
                <w:color w:val="auto"/>
                <w:spacing w:val="4"/>
                <w:kern w:val="2"/>
                <w:sz w:val="21"/>
                <w:szCs w:val="21"/>
                <w:lang w:val="en-US" w:eastAsia="zh-CN" w:bidi="ar-SA"/>
              </w:rPr>
              <w:t>须携带的研究资料</w:t>
            </w:r>
          </w:p>
        </w:tc>
        <w:tc>
          <w:tcPr>
            <w:tcW w:w="2560" w:type="dxa"/>
            <w:tcBorders>
              <w:tl2br w:val="nil"/>
              <w:tr2bl w:val="nil"/>
            </w:tcBorders>
            <w:shd w:val="clear" w:color="auto" w:fill="auto"/>
            <w:noWrap w:val="0"/>
            <w:tcMar>
              <w:top w:w="0" w:type="dxa"/>
              <w:left w:w="108" w:type="dxa"/>
              <w:bottom w:w="0" w:type="dxa"/>
              <w:right w:w="108" w:type="dxa"/>
            </w:tcMar>
            <w:vAlign w:val="top"/>
          </w:tcPr>
          <w:p w14:paraId="05621339">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试验方案</w:t>
            </w:r>
          </w:p>
          <w:p w14:paraId="2E263B10">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spacing w:val="4"/>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研究者文件夹（包括药物管理、生物样本管理等相关文件和记录表单）</w:t>
            </w:r>
          </w:p>
          <w:p w14:paraId="0DEB9B17">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spacing w:val="4"/>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药品管理文件夹</w:t>
            </w:r>
          </w:p>
          <w:p w14:paraId="4BF22D1B">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spacing w:val="4"/>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生物样本管理文件夹</w:t>
            </w:r>
          </w:p>
          <w:p w14:paraId="2F17B246">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spacing w:val="4"/>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所有试验参与者文件夹（必须携带发生SAE及重大PD的试验参与者文件夹）、试验参与者日记卡、安全事件记录表</w:t>
            </w:r>
          </w:p>
          <w:p w14:paraId="776BF403">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其他相关文件</w:t>
            </w:r>
          </w:p>
        </w:tc>
        <w:tc>
          <w:tcPr>
            <w:tcW w:w="4435" w:type="dxa"/>
            <w:tcBorders>
              <w:tl2br w:val="nil"/>
              <w:tr2bl w:val="nil"/>
            </w:tcBorders>
            <w:shd w:val="clear" w:color="auto" w:fill="auto"/>
            <w:noWrap w:val="0"/>
            <w:tcMar>
              <w:top w:w="0" w:type="dxa"/>
              <w:left w:w="108" w:type="dxa"/>
              <w:bottom w:w="0" w:type="dxa"/>
              <w:right w:w="108" w:type="dxa"/>
            </w:tcMar>
            <w:vAlign w:val="top"/>
          </w:tcPr>
          <w:p w14:paraId="2A96DF5E">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试验方案</w:t>
            </w:r>
          </w:p>
          <w:p w14:paraId="3FB53C10">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药品管理文件夹</w:t>
            </w:r>
          </w:p>
          <w:p w14:paraId="77E1AFFA">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生物样本管理文件夹</w:t>
            </w:r>
          </w:p>
          <w:p w14:paraId="3A2A0CDD">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spacing w:val="4"/>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所有试验试验参与者文件夹（必须携带发生SAE及重大PD的试验参与者文件夹）、试验参与者日记卡、安全事件记录表</w:t>
            </w:r>
          </w:p>
          <w:p w14:paraId="5FCA2789">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p>
          <w:p w14:paraId="52762DAF">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其他相关文件</w:t>
            </w:r>
          </w:p>
        </w:tc>
        <w:tc>
          <w:tcPr>
            <w:tcW w:w="2497" w:type="dxa"/>
            <w:tcBorders>
              <w:tl2br w:val="nil"/>
              <w:tr2bl w:val="nil"/>
            </w:tcBorders>
            <w:shd w:val="clear" w:color="auto" w:fill="auto"/>
            <w:noWrap w:val="0"/>
            <w:tcMar>
              <w:top w:w="0" w:type="dxa"/>
              <w:left w:w="108" w:type="dxa"/>
              <w:bottom w:w="0" w:type="dxa"/>
              <w:right w:w="108" w:type="dxa"/>
            </w:tcMar>
            <w:vAlign w:val="top"/>
          </w:tcPr>
          <w:p w14:paraId="67072C21">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试验方案</w:t>
            </w:r>
          </w:p>
          <w:p w14:paraId="5BE56728">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研究者文件夹</w:t>
            </w:r>
          </w:p>
          <w:p w14:paraId="7A42E991">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药品管理文件夹</w:t>
            </w:r>
          </w:p>
          <w:p w14:paraId="02866185">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生物样本管理文件夹</w:t>
            </w:r>
          </w:p>
          <w:p w14:paraId="3034B166">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所有试验参与者文件夹（必须携带发生SAE及重大PD的试验试验参与者文件夹）、试验参与者日记卡、安全事件记录表</w:t>
            </w:r>
          </w:p>
        </w:tc>
        <w:tc>
          <w:tcPr>
            <w:tcW w:w="3203" w:type="dxa"/>
            <w:tcBorders>
              <w:tl2br w:val="nil"/>
              <w:tr2bl w:val="nil"/>
            </w:tcBorders>
            <w:shd w:val="clear" w:color="auto" w:fill="auto"/>
            <w:noWrap w:val="0"/>
            <w:tcMar>
              <w:top w:w="0" w:type="dxa"/>
              <w:left w:w="108" w:type="dxa"/>
              <w:bottom w:w="0" w:type="dxa"/>
              <w:right w:w="108" w:type="dxa"/>
            </w:tcMar>
            <w:vAlign w:val="top"/>
          </w:tcPr>
          <w:p w14:paraId="57085684">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试验方案</w:t>
            </w:r>
          </w:p>
          <w:p w14:paraId="1D5AEEC3">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研究者文件夹</w:t>
            </w:r>
          </w:p>
          <w:p w14:paraId="3A101083">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药品管理文件夹</w:t>
            </w:r>
          </w:p>
          <w:p w14:paraId="5BC0CCC9">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生物样本管理文件夹</w:t>
            </w:r>
          </w:p>
          <w:p w14:paraId="2B9B3BE9">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spacing w:val="4"/>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所有试验参与者文件夹（必须携带发生SAE及重大PD的试验试验参与者文件夹）、试验参与者日记卡、安全事件记录表</w:t>
            </w:r>
          </w:p>
          <w:p w14:paraId="18140A69">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p>
        </w:tc>
      </w:tr>
      <w:tr w14:paraId="7EDC9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1612" w:type="dxa"/>
            <w:tcBorders>
              <w:tl2br w:val="nil"/>
              <w:tr2bl w:val="nil"/>
            </w:tcBorders>
            <w:shd w:val="clear" w:color="auto" w:fill="auto"/>
            <w:noWrap w:val="0"/>
            <w:tcMar>
              <w:top w:w="0" w:type="dxa"/>
              <w:left w:w="108" w:type="dxa"/>
              <w:bottom w:w="0" w:type="dxa"/>
              <w:right w:w="108" w:type="dxa"/>
            </w:tcMar>
            <w:vAlign w:val="center"/>
          </w:tcPr>
          <w:p w14:paraId="5060337D">
            <w:pPr>
              <w:widowControl/>
              <w:wordWrap w:val="0"/>
              <w:adjustRightInd/>
              <w:snapToGrid/>
              <w:spacing w:before="0" w:beforeLines="0" w:beforeAutospacing="0" w:after="0" w:afterLines="0" w:afterAutospacing="0" w:line="360" w:lineRule="auto"/>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b/>
                <w:color w:val="auto"/>
                <w:spacing w:val="4"/>
                <w:kern w:val="2"/>
                <w:sz w:val="21"/>
                <w:szCs w:val="21"/>
                <w:lang w:val="en-US" w:eastAsia="zh-CN" w:bidi="ar-SA"/>
              </w:rPr>
              <w:t>质控重点</w:t>
            </w:r>
          </w:p>
        </w:tc>
        <w:tc>
          <w:tcPr>
            <w:tcW w:w="2560" w:type="dxa"/>
            <w:tcBorders>
              <w:tl2br w:val="nil"/>
              <w:tr2bl w:val="nil"/>
            </w:tcBorders>
            <w:shd w:val="clear" w:color="auto" w:fill="auto"/>
            <w:noWrap w:val="0"/>
            <w:tcMar>
              <w:top w:w="0" w:type="dxa"/>
              <w:left w:w="108" w:type="dxa"/>
              <w:bottom w:w="0" w:type="dxa"/>
              <w:right w:w="108" w:type="dxa"/>
            </w:tcMar>
            <w:vAlign w:val="center"/>
          </w:tcPr>
          <w:p w14:paraId="655D2FE0">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表格等文件的规范性（包括药物、生物样本、试验参与者日记卡、试验参与者文件等）、授权分工表、研究人员的资质及CRC对方案的熟悉度、受试者文件夹</w:t>
            </w:r>
          </w:p>
        </w:tc>
        <w:tc>
          <w:tcPr>
            <w:tcW w:w="4435" w:type="dxa"/>
            <w:tcBorders>
              <w:tl2br w:val="nil"/>
              <w:tr2bl w:val="nil"/>
            </w:tcBorders>
            <w:shd w:val="clear" w:color="auto" w:fill="auto"/>
            <w:noWrap w:val="0"/>
            <w:tcMar>
              <w:top w:w="0" w:type="dxa"/>
              <w:left w:w="108" w:type="dxa"/>
              <w:bottom w:w="0" w:type="dxa"/>
              <w:right w:w="108" w:type="dxa"/>
            </w:tcMar>
            <w:vAlign w:val="center"/>
          </w:tcPr>
          <w:p w14:paraId="279F4415">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试验参与者文件夹、药物文件夹、生物样本文件夹</w:t>
            </w:r>
          </w:p>
        </w:tc>
        <w:tc>
          <w:tcPr>
            <w:tcW w:w="2497" w:type="dxa"/>
            <w:tcBorders>
              <w:tl2br w:val="nil"/>
              <w:tr2bl w:val="nil"/>
            </w:tcBorders>
            <w:shd w:val="clear" w:color="auto" w:fill="auto"/>
            <w:noWrap w:val="0"/>
            <w:tcMar>
              <w:top w:w="0" w:type="dxa"/>
              <w:left w:w="108" w:type="dxa"/>
              <w:bottom w:w="0" w:type="dxa"/>
              <w:right w:w="108" w:type="dxa"/>
            </w:tcMar>
            <w:vAlign w:val="center"/>
          </w:tcPr>
          <w:p w14:paraId="48114A28">
            <w:pPr>
              <w:widowControl/>
              <w:wordWrap w:val="0"/>
              <w:adjustRightInd/>
              <w:snapToGrid/>
              <w:spacing w:before="0" w:beforeLines="0" w:beforeAutospacing="0" w:after="0" w:afterLines="0" w:afterAutospacing="0" w:line="360" w:lineRule="auto"/>
              <w:jc w:val="both"/>
              <w:rPr>
                <w:rFonts w:hint="default" w:asciiTheme="minorEastAsia" w:hAnsiTheme="minorEastAsia" w:eastAsiaTheme="minorEastAsia" w:cstheme="minorEastAsia"/>
                <w:color w:val="auto"/>
                <w:spacing w:val="4"/>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试验参与者文件夹、药物文件夹、生物样本文件夹</w:t>
            </w:r>
          </w:p>
        </w:tc>
        <w:tc>
          <w:tcPr>
            <w:tcW w:w="3203" w:type="dxa"/>
            <w:tcBorders>
              <w:tl2br w:val="nil"/>
              <w:tr2bl w:val="nil"/>
            </w:tcBorders>
            <w:shd w:val="clear" w:color="auto" w:fill="auto"/>
            <w:noWrap w:val="0"/>
            <w:tcMar>
              <w:top w:w="0" w:type="dxa"/>
              <w:left w:w="108" w:type="dxa"/>
              <w:bottom w:w="0" w:type="dxa"/>
              <w:right w:w="108" w:type="dxa"/>
            </w:tcMar>
            <w:vAlign w:val="center"/>
          </w:tcPr>
          <w:p w14:paraId="0AA5BF44">
            <w:pPr>
              <w:widowControl/>
              <w:wordWrap w:val="0"/>
              <w:adjustRightInd/>
              <w:snapToGrid/>
              <w:spacing w:before="0" w:beforeLines="0" w:beforeAutospacing="0" w:after="0" w:afterLines="0" w:afterAutospacing="0" w:line="360" w:lineRule="auto"/>
              <w:jc w:val="both"/>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spacing w:val="4"/>
                <w:kern w:val="0"/>
                <w:sz w:val="21"/>
                <w:szCs w:val="21"/>
                <w:lang w:val="en-US" w:eastAsia="zh-CN" w:bidi="ar-SA"/>
              </w:rPr>
              <w:t>项目文件（所有文件）</w:t>
            </w:r>
          </w:p>
        </w:tc>
      </w:tr>
    </w:tbl>
    <w:p w14:paraId="36D5D8CB">
      <w:pPr>
        <w:autoSpaceDE/>
        <w:autoSpaceDN/>
        <w:adjustRightInd w:val="0"/>
        <w:snapToGrid w:val="0"/>
        <w:spacing w:line="360" w:lineRule="auto"/>
        <w:jc w:val="both"/>
        <w:rPr>
          <w:rFonts w:hint="eastAsia" w:asciiTheme="minorEastAsia" w:hAnsiTheme="minorEastAsia" w:eastAsiaTheme="minorEastAsia" w:cstheme="minorEastAsia"/>
          <w:kern w:val="2"/>
          <w:sz w:val="24"/>
          <w:szCs w:val="24"/>
          <w:lang w:val="en-US" w:bidi="ar-SA"/>
        </w:rPr>
      </w:pPr>
    </w:p>
    <w:p w14:paraId="6DAC0358">
      <w:pPr>
        <w:rPr>
          <w:rFonts w:hint="eastAsia" w:asciiTheme="minorEastAsia" w:hAnsiTheme="minorEastAsia" w:eastAsiaTheme="minorEastAsia" w:cstheme="minorEastAsia"/>
          <w:sz w:val="24"/>
          <w:szCs w:val="24"/>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1EE53">
    <w:pPr>
      <w:pStyle w:val="6"/>
      <w:jc w:val="left"/>
      <w:rPr>
        <w:rFonts w:hint="default" w:eastAsia="宋体"/>
        <w:lang w:val="en-US" w:eastAsia="zh-CN"/>
      </w:rPr>
    </w:pPr>
    <w:r>
      <w:rPr>
        <w:rFonts w:hint="eastAsia"/>
        <w:lang w:val="en-US" w:eastAsia="zh-CN"/>
      </w:rPr>
      <w:t>临床试验机构质控指引                                                         V1.2/2026/03/20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91EFC"/>
    <w:rsid w:val="081011F3"/>
    <w:rsid w:val="092C3BBB"/>
    <w:rsid w:val="0E1F3385"/>
    <w:rsid w:val="13871C6A"/>
    <w:rsid w:val="1C41178F"/>
    <w:rsid w:val="1EFD4DEA"/>
    <w:rsid w:val="21C04DB6"/>
    <w:rsid w:val="234E4553"/>
    <w:rsid w:val="242A6DD6"/>
    <w:rsid w:val="29622B06"/>
    <w:rsid w:val="35803F0E"/>
    <w:rsid w:val="3AEE244B"/>
    <w:rsid w:val="3C336DD6"/>
    <w:rsid w:val="403B7942"/>
    <w:rsid w:val="40584EC6"/>
    <w:rsid w:val="444A3FF1"/>
    <w:rsid w:val="4D5E068F"/>
    <w:rsid w:val="4F4B6392"/>
    <w:rsid w:val="558131E0"/>
    <w:rsid w:val="566A43F2"/>
    <w:rsid w:val="57432CFF"/>
    <w:rsid w:val="585039A6"/>
    <w:rsid w:val="58523BC2"/>
    <w:rsid w:val="58E467E4"/>
    <w:rsid w:val="5A803426"/>
    <w:rsid w:val="5ACE5056"/>
    <w:rsid w:val="5F0E0117"/>
    <w:rsid w:val="66B477F6"/>
    <w:rsid w:val="6ADA378D"/>
    <w:rsid w:val="6E3556C0"/>
    <w:rsid w:val="6F23010B"/>
    <w:rsid w:val="77D93560"/>
    <w:rsid w:val="7AAA11E4"/>
    <w:rsid w:val="7C011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sz w:val="21"/>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99"/>
    <w:pPr>
      <w:pBdr>
        <w:bottom w:val="single" w:color="auto" w:sz="6" w:space="1"/>
      </w:pBdr>
      <w:tabs>
        <w:tab w:val="center" w:pos="4153"/>
        <w:tab w:val="right" w:pos="8306"/>
      </w:tabs>
      <w:spacing w:line="240" w:lineRule="auto"/>
      <w:jc w:val="center"/>
    </w:pPr>
    <w:rPr>
      <w:sz w:val="18"/>
      <w:szCs w:val="18"/>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663323ad-b2a3-4016-aa55-12c710777ba1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5BCECA22</paraID>
      <start>0</start>
      <end>2</end>
      <status>ignored</status>
      <modifiedWord/>
      <trackRevisions>false</trackRevisions>
    </reviewItem>
    <reviewItem>
      <errorID>95cc08ea-543d-4fdf-a2aa-dfc41189e018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5DE717DE</paraID>
      <start>0</start>
      <end>2</end>
      <status>ignored</status>
      <modifiedWord/>
      <trackRevisions>false</trackRevisions>
    </reviewItem>
    <reviewItem>
      <errorID>3513e8ff-09c1-4d7d-a238-39455aa420ff</errorID>
      <errorWord>须</errorWord>
      <group>L1_Word</group>
      <groupName>字词问题</groupName>
      <ability>L2_Typo</ability>
      <abilityName>字词错误</abilityName>
      <candidateList>
        <item>需</item>
      </candidateList>
      <explain>存在发音相同字词的误用。</explain>
      <paraID> 7F3E327</paraID>
      <start>0</start>
      <end>1</end>
      <status>modified</status>
      <modifiedWord>需</modifiedWord>
      <trackRevisions>false</trackRevisions>
    </reviewItem>
  </reviewItems>
  <config/>
</contractReview>
</file>

<file path=customXml/itemProps1.xml><?xml version="1.0" encoding="utf-8"?>
<ds:datastoreItem xmlns:ds="http://schemas.openxmlformats.org/officeDocument/2006/customXml" ds:itemID="{016b4794-398e-43f9-933b-03cc52085068}">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2058</Words>
  <Characters>2213</Characters>
  <Lines>0</Lines>
  <Paragraphs>0</Paragraphs>
  <TotalTime>1</TotalTime>
  <ScaleCrop>false</ScaleCrop>
  <LinksUpToDate>false</LinksUpToDate>
  <CharactersWithSpaces>2344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何秀玲</cp:lastModifiedBy>
  <dcterms:modified xsi:type="dcterms:W3CDTF">2026-03-19T08:47:46Z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eyJoZGlkIjoiYTI0ZDk0MWRlNmFmZjIwZGQ3ZjRiZDgxOTcwZjA1YzEiLCJ1c2VySWQiOiIyMzQ3ODQ1ODYifQ==</vt:lpwstr>
  </property>
  <property fmtid="{D5CDD505-2E9C-101B-9397-08002B2CF9AE}" pid="4" name="ICV">
    <vt:lpwstr>4FD39A4485314B67A11AF53EB08E63FF_13</vt:lpwstr>
  </property>
</Properties>
</file>